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9513AC" w:rsidRDefault="001B3CF6" w:rsidP="004B0977">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52548E">
        <w:rPr>
          <w:rFonts w:ascii="Arial" w:hAnsi="Arial" w:cs="Arial"/>
          <w:b/>
          <w:bCs/>
          <w:sz w:val="28"/>
        </w:rPr>
        <w:t xml:space="preserve">3GPP TSG RAN WG1 </w:t>
      </w:r>
      <w:r>
        <w:rPr>
          <w:rFonts w:ascii="Arial" w:hAnsi="Arial" w:cs="Arial"/>
          <w:b/>
          <w:bCs/>
          <w:sz w:val="28"/>
        </w:rPr>
        <w:t>#98bis</w:t>
      </w:r>
      <w:r w:rsidR="00420DAE">
        <w:rPr>
          <w:rFonts w:ascii="Arial" w:hAnsi="Arial" w:cs="Arial"/>
          <w:b/>
          <w:bCs/>
          <w:sz w:val="28"/>
        </w:rPr>
        <w:t xml:space="preserve">  </w:t>
      </w:r>
      <w:r w:rsidR="00B24F6A">
        <w:rPr>
          <w:rFonts w:ascii="Arial" w:eastAsia="MS Mincho" w:hAnsi="Arial" w:cs="Arial" w:hint="eastAsia"/>
          <w:b/>
          <w:bCs/>
          <w:sz w:val="28"/>
          <w:lang w:eastAsia="ja-JP"/>
        </w:rPr>
        <w:t xml:space="preserve">      </w:t>
      </w:r>
      <w:r w:rsidR="00B24F6A">
        <w:rPr>
          <w:rFonts w:ascii="Arial" w:eastAsia="MS Mincho" w:hAnsi="Arial" w:cs="Arial"/>
          <w:b/>
          <w:bCs/>
          <w:sz w:val="28"/>
          <w:lang w:eastAsia="ja-JP"/>
        </w:rPr>
        <w:tab/>
      </w:r>
      <w:r w:rsidR="00B24F6A">
        <w:rPr>
          <w:rFonts w:ascii="Arial" w:eastAsia="MS Mincho" w:hAnsi="Arial" w:cs="Arial" w:hint="eastAsia"/>
          <w:b/>
          <w:bCs/>
          <w:sz w:val="28"/>
          <w:lang w:eastAsia="ja-JP"/>
        </w:rPr>
        <w:t xml:space="preserve"> </w:t>
      </w:r>
      <w:r w:rsidR="00B24F6A">
        <w:rPr>
          <w:rFonts w:ascii="Arial" w:eastAsia="MS Mincho" w:hAnsi="Arial" w:cs="Arial"/>
          <w:b/>
          <w:bCs/>
          <w:sz w:val="28"/>
          <w:lang w:eastAsia="ja-JP"/>
        </w:rPr>
        <w:t xml:space="preserve">                                              </w:t>
      </w:r>
      <w:r w:rsidR="00B24F6A" w:rsidRPr="00A86F51">
        <w:rPr>
          <w:rFonts w:ascii="Arial" w:hAnsi="Arial" w:cs="Arial"/>
          <w:b/>
          <w:bCs/>
          <w:sz w:val="28"/>
        </w:rPr>
        <w:t>R1-</w:t>
      </w:r>
      <w:r w:rsidR="00B24F6A" w:rsidRPr="00A86F51">
        <w:rPr>
          <w:rFonts w:ascii="Arial" w:hAnsi="Arial" w:cs="Arial"/>
          <w:b/>
          <w:bCs/>
          <w:color w:val="000000" w:themeColor="text1"/>
          <w:sz w:val="28"/>
        </w:rPr>
        <w:t>1</w:t>
      </w:r>
      <w:r w:rsidR="00C0433B" w:rsidRPr="00A86F51">
        <w:rPr>
          <w:rFonts w:ascii="Arial" w:hAnsi="Arial" w:cs="Arial"/>
          <w:b/>
          <w:bCs/>
          <w:color w:val="000000" w:themeColor="text1"/>
          <w:sz w:val="28"/>
        </w:rPr>
        <w:t>9</w:t>
      </w:r>
      <w:r w:rsidR="00A86F51" w:rsidRPr="00A86F51">
        <w:rPr>
          <w:rFonts w:ascii="Arial" w:hAnsi="Arial" w:cs="Arial"/>
          <w:b/>
          <w:bCs/>
          <w:color w:val="000000" w:themeColor="text1"/>
          <w:sz w:val="28"/>
        </w:rPr>
        <w:t>11049</w:t>
      </w:r>
      <w:r w:rsidR="00B24F6A">
        <w:rPr>
          <w:rFonts w:ascii="Arial" w:hAnsi="Arial" w:cs="Arial"/>
          <w:b/>
          <w:bCs/>
          <w:color w:val="000000" w:themeColor="text1"/>
          <w:sz w:val="28"/>
        </w:rPr>
        <w:t xml:space="preserve"> </w:t>
      </w:r>
      <w:r w:rsidR="00420DAE">
        <w:rPr>
          <w:rFonts w:ascii="Arial" w:eastAsia="MS Mincho" w:hAnsi="Arial" w:cs="Arial"/>
          <w:b/>
          <w:bCs/>
          <w:sz w:val="28"/>
          <w:lang w:eastAsia="ja-JP"/>
        </w:rPr>
        <w:t>Chongqing, China, October 14</w:t>
      </w:r>
      <w:r w:rsidR="00420DAE" w:rsidRPr="00F93E84">
        <w:rPr>
          <w:rFonts w:ascii="Arial" w:eastAsia="MS Mincho" w:hAnsi="Arial" w:cs="Arial"/>
          <w:b/>
          <w:bCs/>
          <w:sz w:val="28"/>
          <w:vertAlign w:val="superscript"/>
          <w:lang w:eastAsia="ja-JP"/>
        </w:rPr>
        <w:t>th</w:t>
      </w:r>
      <w:r w:rsidR="00420DAE">
        <w:rPr>
          <w:rFonts w:ascii="Arial" w:eastAsia="MS Mincho" w:hAnsi="Arial" w:cs="Arial"/>
          <w:b/>
          <w:bCs/>
          <w:sz w:val="28"/>
          <w:lang w:eastAsia="ja-JP"/>
        </w:rPr>
        <w:t xml:space="preserve"> – 20</w:t>
      </w:r>
      <w:r w:rsidR="00420DAE" w:rsidRPr="00F93E84">
        <w:rPr>
          <w:rFonts w:ascii="Arial" w:eastAsia="MS Mincho" w:hAnsi="Arial" w:cs="Arial"/>
          <w:b/>
          <w:bCs/>
          <w:sz w:val="28"/>
          <w:vertAlign w:val="superscript"/>
          <w:lang w:eastAsia="ja-JP"/>
        </w:rPr>
        <w:t>th</w:t>
      </w:r>
      <w:r w:rsidR="00420DAE">
        <w:rPr>
          <w:rFonts w:ascii="Arial" w:eastAsia="MS Mincho" w:hAnsi="Arial" w:cs="Arial"/>
          <w:b/>
          <w:bCs/>
          <w:sz w:val="28"/>
          <w:lang w:eastAsia="ja-JP"/>
        </w:rPr>
        <w:t>, 2019</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4144"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F101E4">
        <w:rPr>
          <w:rFonts w:ascii="Arial" w:eastAsia="PMingLiU" w:hAnsi="Arial" w:hint="eastAsia"/>
          <w:color w:val="000000"/>
          <w:sz w:val="24"/>
          <w:lang w:eastAsia="zh-TW"/>
        </w:rPr>
        <w:t>.</w:t>
      </w:r>
      <w:r w:rsidR="00F101E4">
        <w:rPr>
          <w:rFonts w:ascii="Arial" w:eastAsia="PMingLiU" w:hAnsi="Arial"/>
          <w:color w:val="000000"/>
          <w:sz w:val="24"/>
          <w:lang w:eastAsia="zh-TW"/>
        </w:rPr>
        <w:t>2.2</w:t>
      </w:r>
      <w:r w:rsidR="006C2961" w:rsidRPr="001548B9">
        <w:rPr>
          <w:rFonts w:ascii="Arial" w:eastAsia="PMingLiU" w:hAnsi="Arial" w:hint="eastAsia"/>
          <w:color w:val="000000"/>
          <w:sz w:val="24"/>
          <w:lang w:eastAsia="zh-TW"/>
        </w:rPr>
        <w:t>.</w:t>
      </w:r>
      <w:r w:rsidR="00A830DD">
        <w:rPr>
          <w:rFonts w:ascii="Arial" w:eastAsia="PMingLiU" w:hAnsi="Arial"/>
          <w:color w:val="000000"/>
          <w:sz w:val="24"/>
          <w:lang w:eastAsia="zh-TW"/>
        </w:rPr>
        <w:t>1</w:t>
      </w:r>
      <w:r w:rsidR="00D76FD2">
        <w:rPr>
          <w:rFonts w:ascii="Arial" w:eastAsia="PMingLiU" w:hAnsi="Arial"/>
          <w:color w:val="000000"/>
          <w:sz w:val="24"/>
          <w:lang w:eastAsia="zh-TW"/>
        </w:rPr>
        <w:t>.1</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D63C5A">
        <w:rPr>
          <w:rFonts w:ascii="Arial" w:hAnsi="Arial"/>
          <w:sz w:val="24"/>
        </w:rPr>
        <w:t xml:space="preserve">On </w:t>
      </w:r>
      <w:r w:rsidR="00805B01">
        <w:rPr>
          <w:rFonts w:ascii="Arial" w:hAnsi="Arial"/>
          <w:sz w:val="24"/>
        </w:rPr>
        <w:t>I</w:t>
      </w:r>
      <w:r w:rsidR="00A830DD">
        <w:rPr>
          <w:rFonts w:ascii="Arial" w:hAnsi="Arial"/>
          <w:sz w:val="24"/>
        </w:rPr>
        <w:t xml:space="preserve">nitial </w:t>
      </w:r>
      <w:r w:rsidR="00805B01">
        <w:rPr>
          <w:rFonts w:ascii="Arial" w:hAnsi="Arial"/>
          <w:sz w:val="24"/>
        </w:rPr>
        <w:t>A</w:t>
      </w:r>
      <w:r w:rsidR="001207E5">
        <w:rPr>
          <w:rFonts w:ascii="Arial" w:hAnsi="Arial"/>
          <w:sz w:val="24"/>
        </w:rPr>
        <w:t xml:space="preserve">ccess </w:t>
      </w:r>
      <w:r w:rsidR="00805B01">
        <w:rPr>
          <w:rFonts w:ascii="Arial" w:hAnsi="Arial"/>
          <w:sz w:val="24"/>
        </w:rPr>
        <w:t>Signals and C</w:t>
      </w:r>
      <w:r w:rsidR="00A830DD">
        <w:rPr>
          <w:rFonts w:ascii="Arial" w:hAnsi="Arial"/>
          <w:sz w:val="24"/>
        </w:rPr>
        <w:t>hannels for NR-U</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6A72FA">
        <w:rPr>
          <w:rFonts w:ascii="Arial" w:hAnsi="Arial"/>
          <w:sz w:val="24"/>
        </w:rPr>
        <w:t xml:space="preserve"> and decision</w:t>
      </w:r>
    </w:p>
    <w:p w:rsidR="00D70D4E" w:rsidRDefault="00D42F94" w:rsidP="002C2D95">
      <w:pPr>
        <w:pStyle w:val="Heading1"/>
        <w:jc w:val="both"/>
      </w:pPr>
      <w:r>
        <w:t>Introduction</w:t>
      </w:r>
    </w:p>
    <w:p w:rsidR="00E72484" w:rsidRPr="000F383D" w:rsidRDefault="00FD4605" w:rsidP="00DC1298">
      <w:pPr>
        <w:jc w:val="both"/>
        <w:rPr>
          <w:color w:val="000000" w:themeColor="text1"/>
        </w:rPr>
      </w:pPr>
      <w:r>
        <w:t>In th</w:t>
      </w:r>
      <w:r w:rsidR="00DF0B45">
        <w:t xml:space="preserve">is contribution, we discuss some of </w:t>
      </w:r>
      <w:r w:rsidR="00DF0B45">
        <w:rPr>
          <w:color w:val="000000" w:themeColor="text1"/>
        </w:rPr>
        <w:t xml:space="preserve">the remaining </w:t>
      </w:r>
      <w:r w:rsidR="006E1713">
        <w:rPr>
          <w:color w:val="000000" w:themeColor="text1"/>
        </w:rPr>
        <w:t xml:space="preserve">essential </w:t>
      </w:r>
      <w:r w:rsidR="00DF0B45">
        <w:rPr>
          <w:color w:val="000000" w:themeColor="text1"/>
        </w:rPr>
        <w:t>issues in initia</w:t>
      </w:r>
      <w:r w:rsidR="008118D8">
        <w:rPr>
          <w:color w:val="000000" w:themeColor="text1"/>
        </w:rPr>
        <w:t xml:space="preserve">l access signal/channel design following the guidance from </w:t>
      </w:r>
      <w:r w:rsidR="000E3C6C" w:rsidRPr="000E3C6C">
        <w:rPr>
          <w:color w:val="000000" w:themeColor="text1"/>
        </w:rPr>
        <w:t>RP-191581</w:t>
      </w:r>
      <w:r w:rsidR="000E3C6C">
        <w:rPr>
          <w:color w:val="000000" w:themeColor="text1"/>
        </w:rPr>
        <w:t>.</w:t>
      </w:r>
    </w:p>
    <w:p w:rsidR="007018E5" w:rsidRPr="00BF32B0" w:rsidRDefault="007018E5" w:rsidP="007018E5">
      <w:pPr>
        <w:pStyle w:val="Heading1"/>
      </w:pPr>
      <w:r>
        <w:t>Enhanced PRACH design for NR-U</w:t>
      </w:r>
    </w:p>
    <w:tbl>
      <w:tblPr>
        <w:tblStyle w:val="TableGrid"/>
        <w:tblW w:w="0" w:type="auto"/>
        <w:tblLook w:val="04A0" w:firstRow="1" w:lastRow="0" w:firstColumn="1" w:lastColumn="0" w:noHBand="0" w:noVBand="1"/>
      </w:tblPr>
      <w:tblGrid>
        <w:gridCol w:w="9631"/>
      </w:tblGrid>
      <w:tr w:rsidR="007018E5" w:rsidRPr="00BB0C17" w:rsidTr="009E5337">
        <w:tc>
          <w:tcPr>
            <w:tcW w:w="9631" w:type="dxa"/>
          </w:tcPr>
          <w:p w:rsidR="007018E5" w:rsidRPr="00BB0C17" w:rsidRDefault="007018E5" w:rsidP="009E5337">
            <w:pPr>
              <w:rPr>
                <w:rFonts w:ascii="Times New Roman" w:hAnsi="Times New Roman"/>
              </w:rPr>
            </w:pPr>
            <w:r w:rsidRPr="00BB0C17">
              <w:rPr>
                <w:rFonts w:ascii="Times New Roman" w:hAnsi="Times New Roman"/>
                <w:highlight w:val="green"/>
              </w:rPr>
              <w:t>Agreement:</w:t>
            </w:r>
            <w:r w:rsidRPr="00BB0C17">
              <w:rPr>
                <w:rFonts w:ascii="Times New Roman" w:hAnsi="Times New Roman"/>
              </w:rPr>
              <w:t xml:space="preserve"> (RAN1 #97 1905)</w:t>
            </w:r>
          </w:p>
          <w:p w:rsidR="007018E5" w:rsidRPr="00BB0C17" w:rsidRDefault="007018E5" w:rsidP="009E5337">
            <w:pPr>
              <w:rPr>
                <w:rFonts w:ascii="Times New Roman" w:hAnsi="Times New Roman"/>
              </w:rPr>
            </w:pPr>
            <w:r w:rsidRPr="00BB0C17">
              <w:rPr>
                <w:rFonts w:ascii="Times New Roman" w:hAnsi="Times New Roman"/>
              </w:rPr>
              <w:t>For a new enhanced design of NR-U PRACH in addition to the Rel-15 design (sequence length of 139) further discussion is limited to the following options</w:t>
            </w:r>
          </w:p>
          <w:p w:rsidR="007018E5" w:rsidRPr="00BB0C17" w:rsidRDefault="007018E5" w:rsidP="009E5337">
            <w:pPr>
              <w:numPr>
                <w:ilvl w:val="0"/>
                <w:numId w:val="44"/>
              </w:numPr>
              <w:overflowPunct/>
              <w:autoSpaceDE/>
              <w:autoSpaceDN/>
              <w:adjustRightInd/>
              <w:spacing w:after="0"/>
              <w:textAlignment w:val="auto"/>
              <w:rPr>
                <w:rFonts w:ascii="Times New Roman" w:hAnsi="Times New Roman"/>
              </w:rPr>
            </w:pPr>
            <w:r w:rsidRPr="00BB0C17">
              <w:rPr>
                <w:rFonts w:ascii="Times New Roman" w:hAnsi="Times New Roman"/>
              </w:rPr>
              <w:t>ZC sequence of the following lengths</w:t>
            </w:r>
          </w:p>
          <w:p w:rsidR="007018E5" w:rsidRPr="00BB0C17" w:rsidRDefault="007018E5" w:rsidP="009E5337">
            <w:pPr>
              <w:numPr>
                <w:ilvl w:val="0"/>
                <w:numId w:val="43"/>
              </w:numPr>
              <w:overflowPunct/>
              <w:autoSpaceDE/>
              <w:autoSpaceDN/>
              <w:adjustRightInd/>
              <w:spacing w:after="0"/>
              <w:textAlignment w:val="auto"/>
              <w:rPr>
                <w:rFonts w:ascii="Times New Roman" w:hAnsi="Times New Roman"/>
              </w:rPr>
            </w:pPr>
            <w:r w:rsidRPr="00BB0C17">
              <w:rPr>
                <w:rFonts w:ascii="Times New Roman" w:hAnsi="Times New Roman"/>
              </w:rPr>
              <w:t>15 kHz: Choose one of L_RA=[571, 1151]</w:t>
            </w:r>
          </w:p>
          <w:p w:rsidR="007018E5" w:rsidRPr="00BB0C17" w:rsidRDefault="007018E5" w:rsidP="009E5337">
            <w:pPr>
              <w:numPr>
                <w:ilvl w:val="0"/>
                <w:numId w:val="43"/>
              </w:numPr>
              <w:overflowPunct/>
              <w:autoSpaceDE/>
              <w:autoSpaceDN/>
              <w:adjustRightInd/>
              <w:spacing w:after="0"/>
              <w:textAlignment w:val="auto"/>
              <w:rPr>
                <w:rFonts w:ascii="Times New Roman" w:hAnsi="Times New Roman"/>
              </w:rPr>
            </w:pPr>
            <w:r w:rsidRPr="00BB0C17">
              <w:rPr>
                <w:rFonts w:ascii="Times New Roman" w:hAnsi="Times New Roman"/>
              </w:rPr>
              <w:t>30 kHz: Choose one of L_RA=[283, 571]</w:t>
            </w:r>
          </w:p>
          <w:p w:rsidR="007018E5" w:rsidRPr="00BB0C17" w:rsidRDefault="007018E5" w:rsidP="009E5337">
            <w:pPr>
              <w:numPr>
                <w:ilvl w:val="0"/>
                <w:numId w:val="44"/>
              </w:numPr>
              <w:overflowPunct/>
              <w:autoSpaceDE/>
              <w:autoSpaceDN/>
              <w:adjustRightInd/>
              <w:spacing w:after="0"/>
              <w:textAlignment w:val="auto"/>
              <w:rPr>
                <w:rFonts w:ascii="Times New Roman" w:hAnsi="Times New Roman"/>
              </w:rPr>
            </w:pPr>
            <w:r w:rsidRPr="00BB0C17">
              <w:rPr>
                <w:rFonts w:ascii="Times New Roman" w:hAnsi="Times New Roman"/>
              </w:rPr>
              <w:t>Repetition of Rel-15 PRACH sequences in frequency domain with potentially some mechanisms to improve the cubic metric</w:t>
            </w:r>
          </w:p>
          <w:p w:rsidR="007018E5" w:rsidRPr="00BB0C17" w:rsidRDefault="007018E5" w:rsidP="009E5337">
            <w:pPr>
              <w:numPr>
                <w:ilvl w:val="1"/>
                <w:numId w:val="44"/>
              </w:numPr>
              <w:overflowPunct/>
              <w:autoSpaceDE/>
              <w:autoSpaceDN/>
              <w:adjustRightInd/>
              <w:spacing w:after="0"/>
              <w:textAlignment w:val="auto"/>
              <w:rPr>
                <w:rFonts w:ascii="Times New Roman" w:hAnsi="Times New Roman"/>
              </w:rPr>
            </w:pPr>
            <w:r w:rsidRPr="00BB0C17">
              <w:rPr>
                <w:rFonts w:ascii="Times New Roman" w:hAnsi="Times New Roman"/>
              </w:rPr>
              <w:t>Consider one of 2 and 4 repetitions for 30 kHz and one of 4 and 8 repetitions for 15 kHz</w:t>
            </w:r>
          </w:p>
          <w:p w:rsidR="007018E5" w:rsidRPr="00BB0C17" w:rsidRDefault="007018E5" w:rsidP="009E5337">
            <w:pPr>
              <w:numPr>
                <w:ilvl w:val="0"/>
                <w:numId w:val="44"/>
              </w:numPr>
              <w:overflowPunct/>
              <w:autoSpaceDE/>
              <w:autoSpaceDN/>
              <w:adjustRightInd/>
              <w:spacing w:after="0"/>
              <w:textAlignment w:val="auto"/>
              <w:rPr>
                <w:rFonts w:ascii="Times New Roman" w:hAnsi="Times New Roman"/>
              </w:rPr>
            </w:pPr>
            <w:r w:rsidRPr="00BB0C17">
              <w:rPr>
                <w:rFonts w:ascii="Times New Roman" w:hAnsi="Times New Roman"/>
              </w:rPr>
              <w:t>Note: Decision will be based on previously agreed evaluation metrics, capacity per cell (i.e., number of preambles per RACH occasion and number of RACH occasions) for the same time and frequency resources, specification impact and implementation complexity.</w:t>
            </w:r>
          </w:p>
          <w:p w:rsidR="007018E5" w:rsidRPr="00BB0C17" w:rsidRDefault="007018E5" w:rsidP="009E5337">
            <w:pPr>
              <w:numPr>
                <w:ilvl w:val="0"/>
                <w:numId w:val="44"/>
              </w:numPr>
              <w:overflowPunct/>
              <w:autoSpaceDE/>
              <w:autoSpaceDN/>
              <w:adjustRightInd/>
              <w:spacing w:after="0"/>
              <w:textAlignment w:val="auto"/>
              <w:rPr>
                <w:rFonts w:ascii="Times New Roman" w:hAnsi="Times New Roman"/>
              </w:rPr>
            </w:pPr>
            <w:r w:rsidRPr="00BB0C17">
              <w:rPr>
                <w:rFonts w:ascii="Times New Roman" w:hAnsi="Times New Roman"/>
              </w:rPr>
              <w:t>Note: Companies should state any deviations in assumptions from the agreed evaluation assumptions.</w:t>
            </w:r>
          </w:p>
        </w:tc>
      </w:tr>
    </w:tbl>
    <w:p w:rsidR="00FB2841" w:rsidRDefault="00FB2841" w:rsidP="00F00C70"/>
    <w:p w:rsidR="00F00C70" w:rsidRDefault="00F00C70" w:rsidP="00F00C70">
      <w:r>
        <w:rPr>
          <w:lang w:val="en-GB"/>
        </w:rPr>
        <w:t xml:space="preserve">For enhanced PRACH design in NR-U, the main task is to fill up the 20MHz bandwidth with a suitable sequence design. Due to the tight Rel. 16 schedule, we think the easiest solution is to reuse the Rel. 15 PRACH sequence design (ZC sequence of length 139), and repeat it along the frequency domain to fill up the corresponding OFDM symbol. Specifically, we would consider 4 repetitions for </w:t>
      </w:r>
      <w:proofErr w:type="gramStart"/>
      <w:r>
        <w:rPr>
          <w:lang w:val="en-GB"/>
        </w:rPr>
        <w:t>30KHz</w:t>
      </w:r>
      <w:proofErr w:type="gramEnd"/>
      <w:r>
        <w:rPr>
          <w:lang w:val="en-GB"/>
        </w:rPr>
        <w:t xml:space="preserve"> SCS, and 8 repetitions for 15KHz SCS. As for the mechanisms to improve the PAPR, we prefer the similar approach used to enhance PUCCH PF0 and PF1 in NR-U. Specifically, time-domain cyclically shifted versions of the same sequence are being mapped onto the 4 or 8 repetition locations, depending on SCS.  </w:t>
      </w:r>
    </w:p>
    <w:p w:rsidR="007018E5" w:rsidRPr="00F64959" w:rsidRDefault="00F00C70" w:rsidP="00F64959">
      <w:pPr>
        <w:pStyle w:val="Caption"/>
        <w:rPr>
          <w:b w:val="0"/>
        </w:rPr>
      </w:pPr>
      <w:bookmarkStart w:id="1" w:name="_Ref21419940"/>
      <w:r>
        <w:t xml:space="preserve">Proposal </w:t>
      </w:r>
      <w:r>
        <w:rPr>
          <w:noProof/>
        </w:rPr>
        <w:fldChar w:fldCharType="begin"/>
      </w:r>
      <w:r>
        <w:rPr>
          <w:noProof/>
        </w:rPr>
        <w:instrText xml:space="preserve"> SEQ Proposal \* ARABIC </w:instrText>
      </w:r>
      <w:r>
        <w:rPr>
          <w:noProof/>
        </w:rPr>
        <w:fldChar w:fldCharType="separate"/>
      </w:r>
      <w:r w:rsidR="00E17D28">
        <w:rPr>
          <w:noProof/>
        </w:rPr>
        <w:t>1</w:t>
      </w:r>
      <w:r>
        <w:rPr>
          <w:noProof/>
        </w:rPr>
        <w:fldChar w:fldCharType="end"/>
      </w:r>
      <w:r>
        <w:t>: For PRACH enhancement, support r</w:t>
      </w:r>
      <w:r w:rsidRPr="0084595A">
        <w:t xml:space="preserve">epetition of Rel-15 PRACH sequences in frequency domain with </w:t>
      </w:r>
      <w:r>
        <w:t xml:space="preserve">time-domain cyclic shifts for PAPR reduction. Support 4 repetitions for </w:t>
      </w:r>
      <w:proofErr w:type="gramStart"/>
      <w:r>
        <w:t>30KHz</w:t>
      </w:r>
      <w:proofErr w:type="gramEnd"/>
      <w:r>
        <w:t xml:space="preserve"> SCS, and 8 repetitions for 15KHz SCS.</w:t>
      </w:r>
      <w:bookmarkEnd w:id="1"/>
    </w:p>
    <w:p w:rsidR="00BF32B0" w:rsidRPr="00BF32B0" w:rsidRDefault="00D00155" w:rsidP="00BF32B0">
      <w:pPr>
        <w:pStyle w:val="Heading1"/>
      </w:pPr>
      <w:r>
        <w:t xml:space="preserve">NR-U </w:t>
      </w:r>
      <w:r w:rsidR="00E7746A">
        <w:t>DRS d</w:t>
      </w:r>
      <w:r w:rsidR="00BF32B0">
        <w:t>esign</w:t>
      </w:r>
    </w:p>
    <w:p w:rsidR="00731E00" w:rsidRDefault="00A01186" w:rsidP="00A01186">
      <w:pPr>
        <w:rPr>
          <w:lang w:val="en-GB"/>
        </w:rPr>
      </w:pPr>
      <w:r>
        <w:rPr>
          <w:lang w:val="en-GB"/>
        </w:rPr>
        <w:t xml:space="preserve">In this section, we share our views on some remaining issues regarding NR-U DRS design such as SSB pattern in a slot, Type-0 PDCCH configuration, and DL transmission indicator in DRS for UE power saving. </w:t>
      </w:r>
    </w:p>
    <w:p w:rsidR="00916AC2" w:rsidRDefault="00916AC2" w:rsidP="00916AC2">
      <w:pPr>
        <w:pStyle w:val="Heading2"/>
      </w:pPr>
      <w:r>
        <w:t>SS/PBCH block structure</w:t>
      </w:r>
    </w:p>
    <w:p w:rsidR="00C6593E" w:rsidRDefault="00FD254D" w:rsidP="00367D6B">
      <w:r>
        <w:t xml:space="preserve">At the previous RAN1 #96bis meeting, the following agreements were made about SSB positions in a slot and Type0-PDCCH configuration. </w:t>
      </w:r>
    </w:p>
    <w:tbl>
      <w:tblPr>
        <w:tblStyle w:val="TableGrid"/>
        <w:tblW w:w="0" w:type="auto"/>
        <w:tblLook w:val="04A0" w:firstRow="1" w:lastRow="0" w:firstColumn="1" w:lastColumn="0" w:noHBand="0" w:noVBand="1"/>
      </w:tblPr>
      <w:tblGrid>
        <w:gridCol w:w="9631"/>
      </w:tblGrid>
      <w:tr w:rsidR="00B56695" w:rsidRPr="00B56695" w:rsidTr="00B56695">
        <w:tc>
          <w:tcPr>
            <w:tcW w:w="9631" w:type="dxa"/>
          </w:tcPr>
          <w:p w:rsidR="00B56695" w:rsidRPr="00B56695" w:rsidRDefault="00B56695" w:rsidP="00B56695">
            <w:pPr>
              <w:rPr>
                <w:rFonts w:ascii="Times New Roman" w:hAnsi="Times New Roman"/>
                <w:lang w:eastAsia="x-none"/>
              </w:rPr>
            </w:pPr>
            <w:r w:rsidRPr="00B56695">
              <w:rPr>
                <w:rFonts w:ascii="Times New Roman" w:hAnsi="Times New Roman"/>
                <w:highlight w:val="green"/>
                <w:lang w:eastAsia="x-none"/>
              </w:rPr>
              <w:lastRenderedPageBreak/>
              <w:t>Agreement:</w:t>
            </w:r>
            <w:r w:rsidR="00447904">
              <w:rPr>
                <w:rFonts w:ascii="Times New Roman" w:hAnsi="Times New Roman"/>
                <w:lang w:eastAsia="x-none"/>
              </w:rPr>
              <w:t xml:space="preserve"> </w:t>
            </w:r>
          </w:p>
          <w:p w:rsidR="00B56695" w:rsidRPr="00B56695" w:rsidRDefault="00B56695" w:rsidP="00B56695">
            <w:pPr>
              <w:rPr>
                <w:rFonts w:ascii="Times New Roman" w:hAnsi="Times New Roman"/>
                <w:lang w:eastAsia="x-none"/>
              </w:rPr>
            </w:pPr>
            <w:r w:rsidRPr="00EE7463">
              <w:rPr>
                <w:rFonts w:ascii="Times New Roman" w:hAnsi="Times New Roman"/>
                <w:lang w:eastAsia="x-none"/>
              </w:rPr>
              <w:t xml:space="preserve">Only </w:t>
            </w:r>
            <w:proofErr w:type="spellStart"/>
            <w:r w:rsidRPr="00EE7463">
              <w:rPr>
                <w:rFonts w:ascii="Times New Roman" w:hAnsi="Times New Roman"/>
                <w:lang w:eastAsia="x-none"/>
              </w:rPr>
              <w:t>coreset</w:t>
            </w:r>
            <w:proofErr w:type="spellEnd"/>
            <w:r w:rsidRPr="00EE7463">
              <w:rPr>
                <w:rFonts w:ascii="Times New Roman" w:hAnsi="Times New Roman"/>
                <w:lang w:eastAsia="x-none"/>
              </w:rPr>
              <w:t xml:space="preserve"> #0 lengths of 1 and 2 symbols are supported for NR-U</w:t>
            </w:r>
          </w:p>
          <w:p w:rsidR="00B56695" w:rsidRPr="00B56695" w:rsidRDefault="00B56695" w:rsidP="00B56695">
            <w:pPr>
              <w:rPr>
                <w:rFonts w:ascii="Times New Roman" w:hAnsi="Times New Roman"/>
                <w:lang w:eastAsia="x-none"/>
              </w:rPr>
            </w:pPr>
            <w:r w:rsidRPr="00B56695">
              <w:rPr>
                <w:rFonts w:ascii="Times New Roman" w:hAnsi="Times New Roman"/>
                <w:highlight w:val="green"/>
                <w:lang w:eastAsia="x-none"/>
              </w:rPr>
              <w:t>Agreement:</w:t>
            </w:r>
          </w:p>
          <w:p w:rsidR="00B56695" w:rsidRPr="00B56695" w:rsidRDefault="00B56695" w:rsidP="00B56695">
            <w:pPr>
              <w:rPr>
                <w:rFonts w:ascii="Times New Roman" w:hAnsi="Times New Roman"/>
                <w:lang w:eastAsia="x-none"/>
              </w:rPr>
            </w:pPr>
            <w:r w:rsidRPr="00B56695">
              <w:rPr>
                <w:rFonts w:ascii="Times New Roman" w:hAnsi="Times New Roman"/>
                <w:lang w:eastAsia="x-none"/>
              </w:rPr>
              <w:t>Select one of the following options in RAN1 #97:</w:t>
            </w:r>
          </w:p>
          <w:p w:rsidR="00B56695" w:rsidRPr="00B56695" w:rsidRDefault="00B56695" w:rsidP="00B56695">
            <w:pPr>
              <w:numPr>
                <w:ilvl w:val="0"/>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Alt 1: Legacy SSB positions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(#0, #1) for length-2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and symbol (#0) for length-1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w:t>
            </w:r>
            <w:r w:rsidRPr="00EE7463">
              <w:rPr>
                <w:rFonts w:ascii="Times New Roman" w:hAnsi="Times New Roman"/>
                <w:lang w:eastAsia="x-none"/>
              </w:rPr>
              <w:t>at least</w:t>
            </w:r>
            <w:r w:rsidRPr="00B56695">
              <w:rPr>
                <w:rFonts w:ascii="Times New Roman" w:hAnsi="Times New Roman"/>
                <w:lang w:eastAsia="x-none"/>
              </w:rPr>
              <w:t xml:space="preserve"> for the first SSB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(#6, #7) for length-2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and symbol #6 or symbol #7 for length-1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for the second SSB in a slot</w:t>
            </w:r>
          </w:p>
          <w:p w:rsidR="00B56695" w:rsidRPr="00B56695" w:rsidRDefault="00B56695" w:rsidP="00B56695">
            <w:pPr>
              <w:numPr>
                <w:ilvl w:val="2"/>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FFS: configurable between symbols #6 and #7 for the length-1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for the second SSB in a slot</w:t>
            </w:r>
          </w:p>
          <w:p w:rsidR="00B56695" w:rsidRPr="00B56695" w:rsidRDefault="00B56695" w:rsidP="00B56695">
            <w:pPr>
              <w:numPr>
                <w:ilvl w:val="0"/>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Alt2: New SSB positions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(#0, #1) for length-2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and symbol (#0) for length-1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for the first SSB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(#7, #8) for length-2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and symbol (#7) for length-1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for the second SSB in a slot</w:t>
            </w:r>
          </w:p>
          <w:p w:rsidR="00B56695" w:rsidRPr="00B56695" w:rsidRDefault="00B56695" w:rsidP="00B56695">
            <w:pPr>
              <w:numPr>
                <w:ilvl w:val="0"/>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Alt 3: Legacy SSB positions in a slot</w:t>
            </w:r>
          </w:p>
          <w:p w:rsidR="00B56695" w:rsidRPr="00B56695" w:rsidRDefault="00B56695" w:rsidP="00B56695">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(#0, #1) for length-2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and symbol (#0) for length-1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for the first SSB in a slot</w:t>
            </w:r>
          </w:p>
          <w:p w:rsidR="00B56695" w:rsidRPr="00B56695" w:rsidRDefault="00B56695" w:rsidP="00367D6B">
            <w:pPr>
              <w:numPr>
                <w:ilvl w:val="1"/>
                <w:numId w:val="38"/>
              </w:numPr>
              <w:overflowPunct/>
              <w:autoSpaceDE/>
              <w:autoSpaceDN/>
              <w:adjustRightInd/>
              <w:spacing w:after="0"/>
              <w:textAlignment w:val="auto"/>
              <w:rPr>
                <w:rFonts w:ascii="Times New Roman" w:hAnsi="Times New Roman"/>
                <w:lang w:eastAsia="x-none"/>
              </w:rPr>
            </w:pPr>
            <w:r w:rsidRPr="00B56695">
              <w:rPr>
                <w:rFonts w:ascii="Times New Roman" w:hAnsi="Times New Roman"/>
                <w:lang w:eastAsia="x-none"/>
              </w:rPr>
              <w:t xml:space="preserve">Support Type0-PDCCH in symbol (#7) for </w:t>
            </w:r>
            <w:proofErr w:type="spellStart"/>
            <w:r w:rsidRPr="00B56695">
              <w:rPr>
                <w:rFonts w:ascii="Times New Roman" w:hAnsi="Times New Roman"/>
                <w:lang w:eastAsia="x-none"/>
              </w:rPr>
              <w:t>coreset</w:t>
            </w:r>
            <w:proofErr w:type="spellEnd"/>
            <w:r w:rsidRPr="00B56695">
              <w:rPr>
                <w:rFonts w:ascii="Times New Roman" w:hAnsi="Times New Roman"/>
                <w:lang w:eastAsia="x-none"/>
              </w:rPr>
              <w:t xml:space="preserve"> 0 for the second SSB in a slot</w:t>
            </w:r>
          </w:p>
        </w:tc>
      </w:tr>
    </w:tbl>
    <w:p w:rsidR="00B56695" w:rsidRPr="00367D6B" w:rsidRDefault="00B56695" w:rsidP="00367D6B"/>
    <w:p w:rsidR="00916AC2" w:rsidRDefault="00916AC2" w:rsidP="00916AC2">
      <w:pPr>
        <w:jc w:val="both"/>
        <w:rPr>
          <w:lang w:val="en-GB" w:eastAsia="zh-CN"/>
        </w:rPr>
      </w:pPr>
      <w:r>
        <w:rPr>
          <w:lang w:val="en-GB" w:eastAsia="zh-CN"/>
        </w:rPr>
        <w:t xml:space="preserve">The DRS shift granularity has not yet been </w:t>
      </w:r>
      <w:r w:rsidR="000E0241">
        <w:rPr>
          <w:lang w:val="en-GB" w:eastAsia="zh-CN"/>
        </w:rPr>
        <w:t>agreed</w:t>
      </w:r>
      <w:r>
        <w:rPr>
          <w:lang w:val="en-GB" w:eastAsia="zh-CN"/>
        </w:rPr>
        <w:t xml:space="preserve">. However, since one SS/PBCH block is allocated in each half slot, it is intuitive to assume that the DRS shift granularity is half slot. This implies DRS may be transmitted from the middle of a slot. In this case, there is only one symbol that can be allocated for PDCCH transmission in the beginning of the second half slot in Case A and Case C. Therefore, we propose that the SS/PBCH symbol positions should be changed from (8, 9, 10, </w:t>
      </w:r>
      <w:proofErr w:type="gramStart"/>
      <w:r>
        <w:rPr>
          <w:lang w:val="en-GB" w:eastAsia="zh-CN"/>
        </w:rPr>
        <w:t>11</w:t>
      </w:r>
      <w:proofErr w:type="gramEnd"/>
      <w:r>
        <w:rPr>
          <w:lang w:val="en-GB" w:eastAsia="zh-CN"/>
        </w:rPr>
        <w:t>) to (9, 10, 11, 12) to have a same SS/PBCH block structure in any half slot.</w:t>
      </w:r>
      <w:r w:rsidR="004529B6">
        <w:rPr>
          <w:lang w:val="en-GB" w:eastAsia="zh-CN"/>
        </w:rPr>
        <w:t xml:space="preserve"> In other words, we think </w:t>
      </w:r>
      <w:r w:rsidR="00245E82">
        <w:rPr>
          <w:lang w:val="en-GB" w:eastAsia="zh-CN"/>
        </w:rPr>
        <w:t>Alt</w:t>
      </w:r>
      <w:r w:rsidR="004529B6">
        <w:rPr>
          <w:lang w:val="en-GB" w:eastAsia="zh-CN"/>
        </w:rPr>
        <w:t xml:space="preserve">2 </w:t>
      </w:r>
      <w:r w:rsidR="00245E82">
        <w:rPr>
          <w:lang w:val="en-GB" w:eastAsia="zh-CN"/>
        </w:rPr>
        <w:t xml:space="preserve">in the above agreements </w:t>
      </w:r>
      <w:r w:rsidR="004529B6">
        <w:rPr>
          <w:lang w:val="en-GB" w:eastAsia="zh-CN"/>
        </w:rPr>
        <w:t xml:space="preserve">should be supported so that SSBs are at symbols (2, 3, 4, </w:t>
      </w:r>
      <w:proofErr w:type="gramStart"/>
      <w:r w:rsidR="004529B6">
        <w:rPr>
          <w:lang w:val="en-GB" w:eastAsia="zh-CN"/>
        </w:rPr>
        <w:t>5</w:t>
      </w:r>
      <w:proofErr w:type="gramEnd"/>
      <w:r w:rsidR="004529B6">
        <w:rPr>
          <w:lang w:val="en-GB" w:eastAsia="zh-CN"/>
        </w:rPr>
        <w:t xml:space="preserve">) and (9, 10, 11, 12) in a slot. </w:t>
      </w:r>
      <w:r>
        <w:rPr>
          <w:lang w:val="en-GB" w:eastAsia="zh-CN"/>
        </w:rPr>
        <w:t xml:space="preserve"> </w:t>
      </w:r>
    </w:p>
    <w:p w:rsidR="00916AC2" w:rsidRDefault="00916AC2" w:rsidP="004E0B87">
      <w:pPr>
        <w:pStyle w:val="Caption"/>
      </w:pPr>
      <w:bookmarkStart w:id="2" w:name="_Ref1154833"/>
      <w:bookmarkStart w:id="3" w:name="_Ref7697531"/>
      <w:r>
        <w:t xml:space="preserve">Proposal </w:t>
      </w:r>
      <w:r w:rsidR="00BF6B20">
        <w:fldChar w:fldCharType="begin"/>
      </w:r>
      <w:r w:rsidR="00BF6B20">
        <w:instrText xml:space="preserve"> SEQ Proposal \* ARABIC </w:instrText>
      </w:r>
      <w:r w:rsidR="00BF6B20">
        <w:fldChar w:fldCharType="separate"/>
      </w:r>
      <w:r w:rsidR="00E17D28">
        <w:rPr>
          <w:noProof/>
        </w:rPr>
        <w:t>2</w:t>
      </w:r>
      <w:r w:rsidR="00BF6B20">
        <w:rPr>
          <w:noProof/>
        </w:rPr>
        <w:fldChar w:fldCharType="end"/>
      </w:r>
      <w:r>
        <w:t xml:space="preserve">: </w:t>
      </w:r>
      <w:r w:rsidR="00DC485D">
        <w:t xml:space="preserve">Support </w:t>
      </w:r>
      <w:r w:rsidR="00965582">
        <w:t xml:space="preserve">SS/PBCH blocks </w:t>
      </w:r>
      <w:r w:rsidR="00DC485D">
        <w:t xml:space="preserve">to </w:t>
      </w:r>
      <w:r w:rsidR="00181FE1">
        <w:t>be</w:t>
      </w:r>
      <w:r w:rsidR="00965582">
        <w:t xml:space="preserve"> located symbol</w:t>
      </w:r>
      <w:r w:rsidR="00EC35C4">
        <w:t>s</w:t>
      </w:r>
      <w:r w:rsidR="00965582">
        <w:t xml:space="preserve"> (2, 3, 4, </w:t>
      </w:r>
      <w:proofErr w:type="gramStart"/>
      <w:r w:rsidR="00965582">
        <w:t>5</w:t>
      </w:r>
      <w:proofErr w:type="gramEnd"/>
      <w:r w:rsidR="00965582">
        <w:t>) and (9</w:t>
      </w:r>
      <w:r w:rsidR="00181FE1">
        <w:t xml:space="preserve">, 10, 11, 12) in a </w:t>
      </w:r>
      <w:r w:rsidR="00702013">
        <w:t>slot</w:t>
      </w:r>
      <w:bookmarkEnd w:id="2"/>
      <w:r w:rsidR="00DC485D">
        <w:t xml:space="preserve"> for NR-U</w:t>
      </w:r>
      <w:r w:rsidR="00055B2F">
        <w:t>. In other words</w:t>
      </w:r>
      <w:r w:rsidR="00E22E62">
        <w:t xml:space="preserve">, </w:t>
      </w:r>
      <w:r w:rsidR="00055B2F">
        <w:t>suppo</w:t>
      </w:r>
      <w:r w:rsidR="00E22E62">
        <w:t>rt Alt2 for SSB positions in a slot.</w:t>
      </w:r>
      <w:bookmarkEnd w:id="3"/>
      <w:r w:rsidR="00E22E62">
        <w:t xml:space="preserve"> </w:t>
      </w:r>
    </w:p>
    <w:p w:rsidR="005A148C" w:rsidRDefault="005A148C" w:rsidP="005A148C">
      <w:pPr>
        <w:pStyle w:val="Heading2"/>
        <w:rPr>
          <w:lang w:eastAsia="zh-CN"/>
        </w:rPr>
      </w:pPr>
      <w:r>
        <w:rPr>
          <w:lang w:eastAsia="zh-CN"/>
        </w:rPr>
        <w:t xml:space="preserve">Type0-PDCCH Monitoring </w:t>
      </w:r>
    </w:p>
    <w:p w:rsidR="005A148C" w:rsidRPr="00E83327" w:rsidRDefault="005A148C" w:rsidP="005A148C">
      <w:pPr>
        <w:rPr>
          <w:lang w:val="en-GB" w:eastAsia="zh-CN"/>
        </w:rPr>
      </w:pPr>
      <w:r>
        <w:rPr>
          <w:lang w:val="en-GB" w:eastAsia="zh-CN"/>
        </w:rPr>
        <w:t xml:space="preserve">The following agreements have been made about Type0-PDCCH monitoring. </w:t>
      </w:r>
    </w:p>
    <w:tbl>
      <w:tblPr>
        <w:tblStyle w:val="TableGrid"/>
        <w:tblW w:w="0" w:type="auto"/>
        <w:tblLook w:val="04A0" w:firstRow="1" w:lastRow="0" w:firstColumn="1" w:lastColumn="0" w:noHBand="0" w:noVBand="1"/>
      </w:tblPr>
      <w:tblGrid>
        <w:gridCol w:w="9631"/>
      </w:tblGrid>
      <w:tr w:rsidR="005A148C" w:rsidRPr="002C3037" w:rsidTr="000E3F2F">
        <w:tc>
          <w:tcPr>
            <w:tcW w:w="9631" w:type="dxa"/>
          </w:tcPr>
          <w:p w:rsidR="005A148C" w:rsidRPr="002C3037" w:rsidRDefault="005A148C" w:rsidP="000E3F2F">
            <w:pPr>
              <w:rPr>
                <w:rFonts w:ascii="Times New Roman" w:hAnsi="Times New Roman"/>
                <w:lang w:eastAsia="x-none"/>
              </w:rPr>
            </w:pPr>
            <w:r w:rsidRPr="002C3037">
              <w:rPr>
                <w:rFonts w:ascii="Times New Roman" w:hAnsi="Times New Roman"/>
                <w:highlight w:val="green"/>
                <w:lang w:eastAsia="x-none"/>
              </w:rPr>
              <w:t>Agreement:</w:t>
            </w:r>
            <w:r w:rsidRPr="002C3037">
              <w:rPr>
                <w:rFonts w:ascii="Times New Roman" w:hAnsi="Times New Roman"/>
                <w:lang w:eastAsia="x-none"/>
              </w:rPr>
              <w:t xml:space="preserve"> (Ad-hoc 1901)</w:t>
            </w:r>
          </w:p>
          <w:p w:rsidR="005A148C" w:rsidRPr="002C3037" w:rsidRDefault="005A148C" w:rsidP="000E3F2F">
            <w:pPr>
              <w:rPr>
                <w:rFonts w:ascii="Times New Roman" w:hAnsi="Times New Roman"/>
                <w:lang w:eastAsia="x-none"/>
              </w:rPr>
            </w:pPr>
            <w:r w:rsidRPr="002C3037">
              <w:rPr>
                <w:rFonts w:ascii="Times New Roman" w:hAnsi="Times New Roman"/>
                <w:lang w:eastAsia="x-none"/>
              </w:rPr>
              <w:t>The Type0-PDCCH monitoring configuration for NR-U should satisfy at least the following properties:</w:t>
            </w:r>
          </w:p>
          <w:p w:rsidR="005A148C" w:rsidRPr="002C3037" w:rsidRDefault="005A148C" w:rsidP="005A148C">
            <w:pPr>
              <w:numPr>
                <w:ilvl w:val="0"/>
                <w:numId w:val="3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TDM of Type0-PDCCH and SSB similar to existing pattern 1 (already agreed)</w:t>
            </w:r>
          </w:p>
          <w:p w:rsidR="005A148C" w:rsidRPr="002C3037" w:rsidRDefault="005A148C" w:rsidP="005A148C">
            <w:pPr>
              <w:numPr>
                <w:ilvl w:val="0"/>
                <w:numId w:val="3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Support the monitoring of Type0 PDCCH of the 2</w:t>
            </w:r>
            <w:r w:rsidRPr="002C3037">
              <w:rPr>
                <w:rFonts w:ascii="Times New Roman" w:hAnsi="Times New Roman"/>
                <w:vertAlign w:val="superscript"/>
                <w:lang w:eastAsia="x-none"/>
              </w:rPr>
              <w:t>nd</w:t>
            </w:r>
            <w:r w:rsidRPr="002C3037">
              <w:rPr>
                <w:rFonts w:ascii="Times New Roman" w:hAnsi="Times New Roman"/>
                <w:lang w:eastAsia="x-none"/>
              </w:rPr>
              <w:t xml:space="preserve"> SSB position in a slot in the gap between 1</w:t>
            </w:r>
            <w:r w:rsidRPr="002C3037">
              <w:rPr>
                <w:rFonts w:ascii="Times New Roman" w:hAnsi="Times New Roman"/>
                <w:vertAlign w:val="superscript"/>
                <w:lang w:eastAsia="x-none"/>
              </w:rPr>
              <w:t>st</w:t>
            </w:r>
            <w:r w:rsidRPr="002C3037">
              <w:rPr>
                <w:rFonts w:ascii="Times New Roman" w:hAnsi="Times New Roman"/>
                <w:lang w:eastAsia="x-none"/>
              </w:rPr>
              <w:t xml:space="preserve"> and 2</w:t>
            </w:r>
            <w:r w:rsidRPr="002C3037">
              <w:rPr>
                <w:rFonts w:ascii="Times New Roman" w:hAnsi="Times New Roman"/>
                <w:vertAlign w:val="superscript"/>
                <w:lang w:eastAsia="x-none"/>
              </w:rPr>
              <w:t>nd</w:t>
            </w:r>
            <w:r w:rsidRPr="002C3037">
              <w:rPr>
                <w:rFonts w:ascii="Times New Roman" w:hAnsi="Times New Roman"/>
                <w:lang w:eastAsia="x-none"/>
              </w:rPr>
              <w:t xml:space="preserve"> SSB within the slot</w:t>
            </w:r>
          </w:p>
          <w:p w:rsidR="005A148C" w:rsidRPr="002C3037" w:rsidRDefault="005A148C" w:rsidP="005A148C">
            <w:pPr>
              <w:numPr>
                <w:ilvl w:val="1"/>
                <w:numId w:val="3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FFS start at symbol #6 of #7 or both</w:t>
            </w:r>
          </w:p>
          <w:p w:rsidR="005A148C" w:rsidRPr="002C3037" w:rsidRDefault="005A148C" w:rsidP="005A148C">
            <w:pPr>
              <w:numPr>
                <w:ilvl w:val="0"/>
                <w:numId w:val="3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FFS: The Type0-PDCCH candidates associated with an SSB are confined within a slot carrying the associated SSB (with the same QCL assumptions)</w:t>
            </w:r>
          </w:p>
        </w:tc>
      </w:tr>
    </w:tbl>
    <w:p w:rsidR="005A148C" w:rsidRDefault="005A148C" w:rsidP="005A148C">
      <w:pPr>
        <w:rPr>
          <w:lang w:val="en-GB" w:eastAsia="zh-CN"/>
        </w:rPr>
      </w:pPr>
    </w:p>
    <w:tbl>
      <w:tblPr>
        <w:tblStyle w:val="TableGrid"/>
        <w:tblW w:w="0" w:type="auto"/>
        <w:tblLook w:val="04A0" w:firstRow="1" w:lastRow="0" w:firstColumn="1" w:lastColumn="0" w:noHBand="0" w:noVBand="1"/>
      </w:tblPr>
      <w:tblGrid>
        <w:gridCol w:w="9631"/>
      </w:tblGrid>
      <w:tr w:rsidR="005A148C" w:rsidRPr="002C3037" w:rsidTr="000E3F2F">
        <w:trPr>
          <w:trHeight w:val="1237"/>
        </w:trPr>
        <w:tc>
          <w:tcPr>
            <w:tcW w:w="9631" w:type="dxa"/>
          </w:tcPr>
          <w:p w:rsidR="005A148C" w:rsidRPr="002C3037" w:rsidRDefault="005A148C" w:rsidP="000E3F2F">
            <w:pPr>
              <w:rPr>
                <w:rFonts w:ascii="Times New Roman" w:hAnsi="Times New Roman"/>
                <w:lang w:eastAsia="x-none"/>
              </w:rPr>
            </w:pPr>
            <w:r w:rsidRPr="002C3037">
              <w:rPr>
                <w:rFonts w:ascii="Times New Roman" w:hAnsi="Times New Roman"/>
                <w:highlight w:val="green"/>
                <w:lang w:eastAsia="x-none"/>
              </w:rPr>
              <w:t>Agreement:</w:t>
            </w:r>
            <w:r w:rsidRPr="002C3037">
              <w:rPr>
                <w:rFonts w:ascii="Times New Roman" w:hAnsi="Times New Roman"/>
                <w:lang w:eastAsia="x-none"/>
              </w:rPr>
              <w:t xml:space="preserve"> (RAN1 #96)</w:t>
            </w:r>
          </w:p>
          <w:p w:rsidR="005A148C" w:rsidRPr="002C3037" w:rsidRDefault="005A148C" w:rsidP="005A148C">
            <w:pPr>
              <w:numPr>
                <w:ilvl w:val="0"/>
                <w:numId w:val="3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 xml:space="preserve">The SCS for all SSBs and </w:t>
            </w:r>
            <w:proofErr w:type="spellStart"/>
            <w:r w:rsidRPr="002C3037">
              <w:rPr>
                <w:rFonts w:ascii="Times New Roman" w:hAnsi="Times New Roman"/>
                <w:lang w:eastAsia="x-none"/>
              </w:rPr>
              <w:t>Coreset</w:t>
            </w:r>
            <w:proofErr w:type="spellEnd"/>
            <w:r w:rsidRPr="002C3037">
              <w:rPr>
                <w:rFonts w:ascii="Times New Roman" w:hAnsi="Times New Roman"/>
                <w:lang w:eastAsia="x-none"/>
              </w:rPr>
              <w:t xml:space="preserve"> #0 on a carrier is always the same for operation of NR in unlicensed spectrum.</w:t>
            </w:r>
          </w:p>
          <w:p w:rsidR="005A148C" w:rsidRPr="002C3037" w:rsidRDefault="005A148C" w:rsidP="005A148C">
            <w:pPr>
              <w:numPr>
                <w:ilvl w:val="0"/>
                <w:numId w:val="37"/>
              </w:numPr>
              <w:overflowPunct/>
              <w:autoSpaceDE/>
              <w:autoSpaceDN/>
              <w:adjustRightInd/>
              <w:spacing w:after="0"/>
              <w:textAlignment w:val="auto"/>
              <w:rPr>
                <w:rFonts w:ascii="Times New Roman" w:hAnsi="Times New Roman"/>
                <w:lang w:eastAsia="x-none"/>
              </w:rPr>
            </w:pPr>
            <w:r w:rsidRPr="002C3037">
              <w:rPr>
                <w:rFonts w:ascii="Times New Roman" w:hAnsi="Times New Roman"/>
                <w:lang w:eastAsia="x-none"/>
              </w:rPr>
              <w:t>CORESET #0 frequency domain resource configuration should be 48 RBs for 30KHz SCS and 96 RBs for 15KHz SCS.</w:t>
            </w:r>
          </w:p>
        </w:tc>
      </w:tr>
    </w:tbl>
    <w:p w:rsidR="005A148C" w:rsidRPr="002819E0" w:rsidRDefault="005A148C" w:rsidP="005A148C">
      <w:pPr>
        <w:rPr>
          <w:lang w:val="en-GB" w:eastAsia="zh-CN"/>
        </w:rPr>
      </w:pPr>
    </w:p>
    <w:tbl>
      <w:tblPr>
        <w:tblStyle w:val="TableGrid"/>
        <w:tblW w:w="0" w:type="auto"/>
        <w:tblLook w:val="04A0" w:firstRow="1" w:lastRow="0" w:firstColumn="1" w:lastColumn="0" w:noHBand="0" w:noVBand="1"/>
      </w:tblPr>
      <w:tblGrid>
        <w:gridCol w:w="9631"/>
      </w:tblGrid>
      <w:tr w:rsidR="005A148C" w:rsidRPr="002C3037" w:rsidTr="000E3F2F">
        <w:tc>
          <w:tcPr>
            <w:tcW w:w="9631" w:type="dxa"/>
          </w:tcPr>
          <w:p w:rsidR="005A148C" w:rsidRPr="002C3037" w:rsidRDefault="005A148C" w:rsidP="000E3F2F">
            <w:pPr>
              <w:rPr>
                <w:rFonts w:ascii="Times New Roman" w:hAnsi="Times New Roman"/>
                <w:lang w:eastAsia="x-none"/>
              </w:rPr>
            </w:pPr>
            <w:r w:rsidRPr="002C3037">
              <w:rPr>
                <w:rFonts w:ascii="Times New Roman" w:hAnsi="Times New Roman"/>
                <w:highlight w:val="green"/>
                <w:lang w:eastAsia="x-none"/>
              </w:rPr>
              <w:t>Agreement:</w:t>
            </w:r>
          </w:p>
          <w:p w:rsidR="005A148C" w:rsidRPr="002C3037" w:rsidRDefault="005A148C" w:rsidP="000E3F2F">
            <w:pPr>
              <w:rPr>
                <w:rFonts w:ascii="Times New Roman" w:hAnsi="Times New Roman"/>
                <w:lang w:eastAsia="x-none"/>
              </w:rPr>
            </w:pPr>
            <w:r w:rsidRPr="002C3037">
              <w:rPr>
                <w:rFonts w:ascii="Times New Roman" w:hAnsi="Times New Roman"/>
                <w:lang w:eastAsia="x-none"/>
              </w:rPr>
              <w:t xml:space="preserve">Only </w:t>
            </w:r>
            <w:proofErr w:type="spellStart"/>
            <w:r w:rsidRPr="002C3037">
              <w:rPr>
                <w:rFonts w:ascii="Times New Roman" w:hAnsi="Times New Roman"/>
                <w:lang w:eastAsia="x-none"/>
              </w:rPr>
              <w:t>Coreset</w:t>
            </w:r>
            <w:proofErr w:type="spellEnd"/>
            <w:r w:rsidRPr="002C3037">
              <w:rPr>
                <w:rFonts w:ascii="Times New Roman" w:hAnsi="Times New Roman"/>
                <w:lang w:eastAsia="x-none"/>
              </w:rPr>
              <w:t xml:space="preserve"> #0 lengths of 1 and 2 symbols are supported for NR-U</w:t>
            </w:r>
          </w:p>
        </w:tc>
      </w:tr>
    </w:tbl>
    <w:p w:rsidR="005A148C" w:rsidRDefault="005A148C" w:rsidP="005A148C">
      <w:pPr>
        <w:pStyle w:val="Caption"/>
        <w:rPr>
          <w:b w:val="0"/>
        </w:rPr>
      </w:pPr>
      <w:r>
        <w:rPr>
          <w:b w:val="0"/>
        </w:rPr>
        <w:lastRenderedPageBreak/>
        <w:t xml:space="preserve">In NR R15, CORESET and search space configurations for Type0-PDCCH can be configurable and indicated by PBCH. In NR-U, we think a similar mechanism should be supported for Type0-PDCCH configuration. </w:t>
      </w:r>
    </w:p>
    <w:p w:rsidR="005A148C" w:rsidRPr="00D64D7E" w:rsidRDefault="005A148C" w:rsidP="005A148C">
      <w:pPr>
        <w:pStyle w:val="Caption"/>
      </w:pPr>
      <w:bookmarkStart w:id="4" w:name="_Ref4680467"/>
      <w:bookmarkStart w:id="5" w:name="_Ref7697542"/>
      <w:r>
        <w:t xml:space="preserve">Proposal </w:t>
      </w:r>
      <w:r w:rsidR="00BF6B20">
        <w:fldChar w:fldCharType="begin"/>
      </w:r>
      <w:r w:rsidR="00BF6B20">
        <w:instrText xml:space="preserve"> SEQ Proposal \* ARABIC </w:instrText>
      </w:r>
      <w:r w:rsidR="00BF6B20">
        <w:fldChar w:fldCharType="separate"/>
      </w:r>
      <w:r w:rsidR="00E17D28">
        <w:rPr>
          <w:noProof/>
        </w:rPr>
        <w:t>3</w:t>
      </w:r>
      <w:r w:rsidR="00BF6B20">
        <w:rPr>
          <w:noProof/>
        </w:rPr>
        <w:fldChar w:fldCharType="end"/>
      </w:r>
      <w:r>
        <w:t xml:space="preserve">: Similar to NR, NR-U supports that both CORESET and search space configurations for Type-0 PDCCH </w:t>
      </w:r>
      <w:r w:rsidR="00AE4042">
        <w:t>are</w:t>
      </w:r>
      <w:r>
        <w:t xml:space="preserve"> carried by PBCH</w:t>
      </w:r>
      <w:bookmarkEnd w:id="4"/>
      <w:r>
        <w:t>.</w:t>
      </w:r>
      <w:bookmarkEnd w:id="5"/>
    </w:p>
    <w:p w:rsidR="005A148C" w:rsidRPr="002E21A3" w:rsidRDefault="00155126" w:rsidP="005A148C">
      <w:pPr>
        <w:pStyle w:val="Caption"/>
        <w:rPr>
          <w:b w:val="0"/>
        </w:rPr>
      </w:pPr>
      <w:r>
        <w:rPr>
          <w:b w:val="0"/>
        </w:rPr>
        <w:t xml:space="preserve">In the previous RAN4 meeting, it was decided that a single default sync raster would be introduced for each sub-band. Furthermore, it is placed in the edge of a sub-band. </w:t>
      </w:r>
      <w:r w:rsidR="00224807">
        <w:rPr>
          <w:b w:val="0"/>
        </w:rPr>
        <w:t xml:space="preserve">The exact placements of the default sync </w:t>
      </w:r>
      <w:proofErr w:type="spellStart"/>
      <w:r w:rsidR="00224807">
        <w:rPr>
          <w:b w:val="0"/>
        </w:rPr>
        <w:t>rasters</w:t>
      </w:r>
      <w:proofErr w:type="spellEnd"/>
      <w:r w:rsidR="00224807">
        <w:rPr>
          <w:b w:val="0"/>
        </w:rPr>
        <w:t xml:space="preserve"> command more RAN4 discussion and further decisions. The exact value(s) of PRB offset between CORESET#0 and SSBs would depend on the final placement of these sync </w:t>
      </w:r>
      <w:proofErr w:type="spellStart"/>
      <w:r w:rsidR="00224807">
        <w:rPr>
          <w:b w:val="0"/>
        </w:rPr>
        <w:t>rasters</w:t>
      </w:r>
      <w:proofErr w:type="spellEnd"/>
      <w:r w:rsidR="00224807">
        <w:rPr>
          <w:b w:val="0"/>
        </w:rPr>
        <w:t xml:space="preserve">. But one single value should be enough and can simply NR-U operation.  </w:t>
      </w:r>
      <w:r w:rsidR="005A148C">
        <w:rPr>
          <w:b w:val="0"/>
        </w:rPr>
        <w:t xml:space="preserve"> </w:t>
      </w:r>
    </w:p>
    <w:p w:rsidR="00DC3F4A" w:rsidRDefault="005A148C" w:rsidP="00DC3F4A">
      <w:pPr>
        <w:pStyle w:val="Caption"/>
        <w:rPr>
          <w:color w:val="000000" w:themeColor="text1"/>
        </w:rPr>
      </w:pPr>
      <w:bookmarkStart w:id="6" w:name="_Ref16919274"/>
      <w:bookmarkStart w:id="7" w:name="_Ref21419961"/>
      <w:r>
        <w:t xml:space="preserve">Proposal </w:t>
      </w:r>
      <w:r w:rsidR="00BF6B20">
        <w:fldChar w:fldCharType="begin"/>
      </w:r>
      <w:r w:rsidR="00BF6B20">
        <w:instrText xml:space="preserve"> SEQ Proposal \* ARABIC </w:instrText>
      </w:r>
      <w:r w:rsidR="00BF6B20">
        <w:fldChar w:fldCharType="separate"/>
      </w:r>
      <w:r w:rsidR="00E17D28">
        <w:rPr>
          <w:noProof/>
        </w:rPr>
        <w:t>4</w:t>
      </w:r>
      <w:r w:rsidR="00BF6B20">
        <w:rPr>
          <w:noProof/>
        </w:rPr>
        <w:fldChar w:fldCharType="end"/>
      </w:r>
      <w:r>
        <w:t>:</w:t>
      </w:r>
      <w:r w:rsidR="00DC3F4A">
        <w:t xml:space="preserve"> For each subcarrier spacing</w:t>
      </w:r>
      <w:r w:rsidRPr="0018214F">
        <w:rPr>
          <w:color w:val="000000" w:themeColor="text1"/>
        </w:rPr>
        <w:t xml:space="preserve">, </w:t>
      </w:r>
      <w:r w:rsidR="00DC3F4A">
        <w:rPr>
          <w:color w:val="000000" w:themeColor="text1"/>
        </w:rPr>
        <w:t xml:space="preserve">support only one single value </w:t>
      </w:r>
      <w:r w:rsidRPr="0018214F">
        <w:rPr>
          <w:color w:val="000000" w:themeColor="text1"/>
        </w:rPr>
        <w:t xml:space="preserve">for the </w:t>
      </w:r>
      <w:r w:rsidR="00DC3F4A">
        <w:rPr>
          <w:color w:val="000000" w:themeColor="text1"/>
        </w:rPr>
        <w:t xml:space="preserve">PRB </w:t>
      </w:r>
      <w:r w:rsidRPr="0018214F">
        <w:rPr>
          <w:color w:val="000000" w:themeColor="text1"/>
        </w:rPr>
        <w:t>offset between CORESET#0 and SSB</w:t>
      </w:r>
      <w:r w:rsidR="00DC3F4A">
        <w:rPr>
          <w:color w:val="000000" w:themeColor="text1"/>
        </w:rPr>
        <w:t xml:space="preserve"> </w:t>
      </w:r>
      <w:bookmarkEnd w:id="6"/>
      <w:r w:rsidR="00DC3F4A">
        <w:rPr>
          <w:color w:val="000000" w:themeColor="text1"/>
        </w:rPr>
        <w:t xml:space="preserve">in </w:t>
      </w:r>
      <w:r w:rsidR="00DC3F4A" w:rsidRPr="0018214F">
        <w:rPr>
          <w:color w:val="000000" w:themeColor="text1"/>
        </w:rPr>
        <w:t>Type0-PDCCH CORESET configuration</w:t>
      </w:r>
      <w:r w:rsidR="00DC3F4A">
        <w:rPr>
          <w:color w:val="000000" w:themeColor="text1"/>
        </w:rPr>
        <w:t>.</w:t>
      </w:r>
      <w:bookmarkEnd w:id="7"/>
    </w:p>
    <w:p w:rsidR="00E07ECA" w:rsidRDefault="00DC3F4A" w:rsidP="001618DF">
      <w:pPr>
        <w:pStyle w:val="Caption"/>
        <w:numPr>
          <w:ilvl w:val="0"/>
          <w:numId w:val="47"/>
        </w:numPr>
      </w:pPr>
      <w:r>
        <w:t xml:space="preserve">FFS the exact </w:t>
      </w:r>
      <w:r w:rsidR="000A0440">
        <w:t xml:space="preserve">offset </w:t>
      </w:r>
      <w:r>
        <w:t>value</w:t>
      </w:r>
      <w:r w:rsidR="00CD4F4D">
        <w:t>s</w:t>
      </w:r>
      <w:r>
        <w:t xml:space="preserve"> </w:t>
      </w:r>
      <w:r w:rsidRPr="0018214F">
        <w:rPr>
          <w:color w:val="000000" w:themeColor="text1"/>
        </w:rPr>
        <w:t xml:space="preserve">by considering RAN4’s </w:t>
      </w:r>
      <w:r>
        <w:rPr>
          <w:color w:val="000000" w:themeColor="text1"/>
        </w:rPr>
        <w:t xml:space="preserve">final </w:t>
      </w:r>
      <w:r w:rsidRPr="0018214F">
        <w:rPr>
          <w:color w:val="000000" w:themeColor="text1"/>
        </w:rPr>
        <w:t>decision on sync raster</w:t>
      </w:r>
      <w:r>
        <w:rPr>
          <w:color w:val="000000" w:themeColor="text1"/>
        </w:rPr>
        <w:t xml:space="preserve"> placement</w:t>
      </w:r>
      <w:r w:rsidRPr="0018214F">
        <w:rPr>
          <w:color w:val="000000" w:themeColor="text1"/>
        </w:rPr>
        <w:t xml:space="preserve"> </w:t>
      </w:r>
    </w:p>
    <w:p w:rsidR="008A4FE1" w:rsidRDefault="005A148C" w:rsidP="005A148C">
      <w:r>
        <w:t xml:space="preserve">As to the search space configuration for Type0-PDCCH, we propose to use </w:t>
      </w:r>
      <w:r w:rsidR="00E81596">
        <w:t>Table 13-11 in TS38.213 (“</w:t>
      </w:r>
      <w:r w:rsidR="00E81596" w:rsidRPr="00E81596">
        <w:t>Parameters for PDCCH monitoring occasions for Type0-PDCCH CSS set - SS/PBCH block and CORESET multiplexing pattern 1 and FR1</w:t>
      </w:r>
      <w:r w:rsidR="00E81596">
        <w:t xml:space="preserve">”) as a starting point. </w:t>
      </w:r>
      <w:r w:rsidR="005F172E">
        <w:t xml:space="preserve">In order to increase channel access opportunities for DRS and enhance NR-U performance, we should honor our previous agreements on supporting Type0-PDCCH monitoring in between two SSBs in a slot. Therefore, we </w:t>
      </w:r>
      <w:r w:rsidR="00120BD1">
        <w:t xml:space="preserve">propose to support the following table for Type0-PDCCH search space configuration in NR-U. </w:t>
      </w:r>
    </w:p>
    <w:p w:rsidR="008A4FE1" w:rsidRDefault="008A4FE1" w:rsidP="008A4FE1">
      <w:pPr>
        <w:pStyle w:val="Caption"/>
      </w:pPr>
      <w:bookmarkStart w:id="8" w:name="_Ref21420150"/>
      <w:r>
        <w:t xml:space="preserve">Table </w:t>
      </w:r>
      <w:r>
        <w:fldChar w:fldCharType="begin"/>
      </w:r>
      <w:r>
        <w:instrText xml:space="preserve"> SEQ Table \* ARABIC </w:instrText>
      </w:r>
      <w:r>
        <w:fldChar w:fldCharType="separate"/>
      </w:r>
      <w:r w:rsidR="00E17D28">
        <w:rPr>
          <w:noProof/>
        </w:rPr>
        <w:t>1</w:t>
      </w:r>
      <w:r>
        <w:fldChar w:fldCharType="end"/>
      </w:r>
      <w:bookmarkEnd w:id="8"/>
      <w:r>
        <w:t xml:space="preserve">: </w:t>
      </w:r>
      <w:r w:rsidRPr="008A4FE1">
        <w:t>Parameters for PDCCH monitoring occasions for Type0-PDCCH CSS set - SS/PBCH block and CORESET multiplexing pattern 1 and FR1</w:t>
      </w:r>
      <w:r>
        <w:t xml:space="preserve"> in NR-U. Note: modified from Table 13-11 of TS38.213 with modification highlighted in red color</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885"/>
        <w:gridCol w:w="3325"/>
        <w:gridCol w:w="973"/>
        <w:gridCol w:w="3445"/>
      </w:tblGrid>
      <w:tr w:rsidR="00776EDA" w:rsidRPr="00B916EC" w:rsidTr="002F2EA1">
        <w:trPr>
          <w:cantSplit/>
        </w:trPr>
        <w:tc>
          <w:tcPr>
            <w:tcW w:w="805" w:type="dxa"/>
            <w:tcBorders>
              <w:bottom w:val="double" w:sz="4" w:space="0" w:color="auto"/>
              <w:right w:val="double" w:sz="4" w:space="0" w:color="auto"/>
            </w:tcBorders>
            <w:shd w:val="clear" w:color="auto" w:fill="E0E0E0"/>
            <w:vAlign w:val="center"/>
          </w:tcPr>
          <w:p w:rsidR="00776EDA" w:rsidRPr="00B916EC" w:rsidRDefault="00776EDA" w:rsidP="00F76EAB">
            <w:pPr>
              <w:pStyle w:val="TAH"/>
              <w:rPr>
                <w:bCs/>
                <w:lang w:val="en-US"/>
              </w:rPr>
            </w:pPr>
            <w:r w:rsidRPr="00B916EC">
              <w:rPr>
                <w:bCs/>
                <w:lang w:val="en-US"/>
              </w:rPr>
              <w:t>Index</w:t>
            </w:r>
          </w:p>
        </w:tc>
        <w:tc>
          <w:tcPr>
            <w:tcW w:w="885" w:type="dxa"/>
            <w:tcBorders>
              <w:left w:val="double" w:sz="4" w:space="0" w:color="auto"/>
              <w:bottom w:val="double" w:sz="4" w:space="0" w:color="auto"/>
            </w:tcBorders>
            <w:shd w:val="clear" w:color="auto" w:fill="E0E0E0"/>
            <w:vAlign w:val="center"/>
          </w:tcPr>
          <w:p w:rsidR="00776EDA" w:rsidRPr="00B916EC" w:rsidRDefault="00776EDA" w:rsidP="00F76EAB">
            <w:pPr>
              <w:pStyle w:val="TAH"/>
              <w:rPr>
                <w:bCs/>
                <w:lang w:val="en-US"/>
              </w:rPr>
            </w:pPr>
            <w:r>
              <w:rPr>
                <w:noProof/>
                <w:position w:val="-6"/>
                <w:lang w:val="en-US" w:eastAsia="zh-TW"/>
              </w:rPr>
              <w:drawing>
                <wp:inline distT="0" distB="0" distL="0" distR="0">
                  <wp:extent cx="181610" cy="15494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1610" cy="154940"/>
                          </a:xfrm>
                          <a:prstGeom prst="rect">
                            <a:avLst/>
                          </a:prstGeom>
                          <a:noFill/>
                          <a:ln>
                            <a:noFill/>
                          </a:ln>
                        </pic:spPr>
                      </pic:pic>
                    </a:graphicData>
                  </a:graphic>
                </wp:inline>
              </w:drawing>
            </w:r>
          </w:p>
        </w:tc>
        <w:tc>
          <w:tcPr>
            <w:tcW w:w="3325" w:type="dxa"/>
            <w:tcBorders>
              <w:bottom w:val="double" w:sz="4" w:space="0" w:color="auto"/>
            </w:tcBorders>
            <w:shd w:val="clear" w:color="auto" w:fill="E0E0E0"/>
            <w:vAlign w:val="center"/>
          </w:tcPr>
          <w:p w:rsidR="00776EDA" w:rsidRPr="00B916EC" w:rsidRDefault="00776EDA" w:rsidP="00F76EAB">
            <w:pPr>
              <w:pStyle w:val="TAH"/>
              <w:rPr>
                <w:bCs/>
                <w:lang w:val="en-US"/>
              </w:rPr>
            </w:pPr>
            <w:r w:rsidRPr="00B916EC">
              <w:rPr>
                <w:rStyle w:val="CommentReference"/>
                <w:rFonts w:cs="Arial"/>
                <w:szCs w:val="18"/>
              </w:rPr>
              <w:t>Number of search space sets per slot</w:t>
            </w:r>
          </w:p>
        </w:tc>
        <w:tc>
          <w:tcPr>
            <w:tcW w:w="973" w:type="dxa"/>
            <w:tcBorders>
              <w:bottom w:val="double" w:sz="4" w:space="0" w:color="auto"/>
            </w:tcBorders>
            <w:shd w:val="clear" w:color="auto" w:fill="E0E0E0"/>
            <w:vAlign w:val="center"/>
          </w:tcPr>
          <w:p w:rsidR="00776EDA" w:rsidRPr="00B916EC" w:rsidRDefault="00776EDA" w:rsidP="00F76EAB">
            <w:pPr>
              <w:pStyle w:val="TAH"/>
              <w:rPr>
                <w:bCs/>
                <w:lang w:val="en-US"/>
              </w:rPr>
            </w:pPr>
            <w:r>
              <w:rPr>
                <w:noProof/>
                <w:position w:val="-4"/>
                <w:lang w:val="en-US" w:eastAsia="zh-TW"/>
              </w:rPr>
              <w:drawing>
                <wp:inline distT="0" distB="0" distL="0" distR="0">
                  <wp:extent cx="181610" cy="15494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1610" cy="154940"/>
                          </a:xfrm>
                          <a:prstGeom prst="rect">
                            <a:avLst/>
                          </a:prstGeom>
                          <a:noFill/>
                          <a:ln>
                            <a:noFill/>
                          </a:ln>
                        </pic:spPr>
                      </pic:pic>
                    </a:graphicData>
                  </a:graphic>
                </wp:inline>
              </w:drawing>
            </w:r>
          </w:p>
        </w:tc>
        <w:tc>
          <w:tcPr>
            <w:tcW w:w="3445" w:type="dxa"/>
            <w:tcBorders>
              <w:bottom w:val="double" w:sz="4" w:space="0" w:color="auto"/>
            </w:tcBorders>
            <w:shd w:val="clear" w:color="auto" w:fill="E0E0E0"/>
            <w:vAlign w:val="center"/>
          </w:tcPr>
          <w:p w:rsidR="00776EDA" w:rsidRPr="00B916EC" w:rsidRDefault="00776EDA" w:rsidP="00F76EAB">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776EDA" w:rsidRPr="00B916EC" w:rsidTr="002F2EA1">
        <w:trPr>
          <w:cantSplit/>
        </w:trPr>
        <w:tc>
          <w:tcPr>
            <w:tcW w:w="805" w:type="dxa"/>
            <w:tcBorders>
              <w:top w:val="double" w:sz="4" w:space="0" w:color="auto"/>
              <w:right w:val="double" w:sz="4" w:space="0" w:color="auto"/>
            </w:tcBorders>
            <w:shd w:val="clear" w:color="auto" w:fill="auto"/>
            <w:vAlign w:val="center"/>
          </w:tcPr>
          <w:p w:rsidR="00776EDA" w:rsidRPr="00B916EC" w:rsidRDefault="00776EDA" w:rsidP="00F76EAB">
            <w:pPr>
              <w:pStyle w:val="TAC"/>
              <w:rPr>
                <w:lang w:val="en-US"/>
              </w:rPr>
            </w:pPr>
            <w:r w:rsidRPr="00B916EC">
              <w:rPr>
                <w:lang w:val="en-US"/>
              </w:rPr>
              <w:t>0</w:t>
            </w:r>
          </w:p>
        </w:tc>
        <w:tc>
          <w:tcPr>
            <w:tcW w:w="885" w:type="dxa"/>
            <w:tcBorders>
              <w:top w:val="double" w:sz="4" w:space="0" w:color="auto"/>
              <w:left w:val="double" w:sz="4" w:space="0" w:color="auto"/>
            </w:tcBorders>
            <w:vAlign w:val="center"/>
          </w:tcPr>
          <w:p w:rsidR="00776EDA" w:rsidRPr="00B916EC" w:rsidRDefault="00776EDA" w:rsidP="00F76EAB">
            <w:pPr>
              <w:pStyle w:val="TAC"/>
              <w:rPr>
                <w:lang w:val="en-US"/>
              </w:rPr>
            </w:pPr>
            <w:r w:rsidRPr="00B916EC">
              <w:rPr>
                <w:rStyle w:val="CommentReference"/>
                <w:rFonts w:cs="Arial"/>
                <w:szCs w:val="18"/>
              </w:rPr>
              <w:t>0</w:t>
            </w:r>
          </w:p>
        </w:tc>
        <w:tc>
          <w:tcPr>
            <w:tcW w:w="3325" w:type="dxa"/>
            <w:tcBorders>
              <w:top w:val="double" w:sz="4" w:space="0" w:color="auto"/>
            </w:tcBorders>
            <w:vAlign w:val="center"/>
          </w:tcPr>
          <w:p w:rsidR="00776EDA" w:rsidRPr="00B916EC" w:rsidRDefault="00776EDA" w:rsidP="00F76EAB">
            <w:pPr>
              <w:pStyle w:val="TAC"/>
              <w:rPr>
                <w:lang w:val="en-US"/>
              </w:rPr>
            </w:pPr>
            <w:r w:rsidRPr="00B916EC">
              <w:rPr>
                <w:rStyle w:val="CommentReference"/>
                <w:rFonts w:cs="Arial"/>
                <w:szCs w:val="18"/>
              </w:rPr>
              <w:t>1</w:t>
            </w:r>
          </w:p>
        </w:tc>
        <w:tc>
          <w:tcPr>
            <w:tcW w:w="973" w:type="dxa"/>
            <w:tcBorders>
              <w:top w:val="double" w:sz="4" w:space="0" w:color="auto"/>
            </w:tcBorders>
            <w:vAlign w:val="center"/>
          </w:tcPr>
          <w:p w:rsidR="00776EDA" w:rsidRPr="00B916EC" w:rsidRDefault="00776EDA" w:rsidP="00F76EAB">
            <w:pPr>
              <w:pStyle w:val="TAC"/>
              <w:rPr>
                <w:lang w:val="en-US"/>
              </w:rPr>
            </w:pPr>
            <w:r w:rsidRPr="00B916EC">
              <w:rPr>
                <w:rStyle w:val="CommentReference"/>
                <w:rFonts w:cs="Arial"/>
                <w:szCs w:val="18"/>
              </w:rPr>
              <w:t>1</w:t>
            </w:r>
          </w:p>
        </w:tc>
        <w:tc>
          <w:tcPr>
            <w:tcW w:w="3445" w:type="dxa"/>
            <w:tcBorders>
              <w:top w:val="double" w:sz="4" w:space="0" w:color="auto"/>
            </w:tcBorders>
            <w:vAlign w:val="center"/>
          </w:tcPr>
          <w:p w:rsidR="00776EDA" w:rsidRPr="00B916EC" w:rsidRDefault="00776EDA" w:rsidP="00F76EAB">
            <w:pPr>
              <w:pStyle w:val="TAC"/>
              <w:rPr>
                <w:lang w:val="en-US"/>
              </w:rPr>
            </w:pPr>
            <w:r w:rsidRPr="00B916EC">
              <w:rPr>
                <w:rStyle w:val="CommentReference"/>
                <w:rFonts w:cs="Arial"/>
                <w:szCs w:val="18"/>
              </w:rPr>
              <w:t>0</w:t>
            </w:r>
          </w:p>
        </w:tc>
      </w:tr>
      <w:tr w:rsidR="00776EDA" w:rsidRPr="00B916EC" w:rsidTr="002F2EA1">
        <w:trPr>
          <w:cantSplit/>
        </w:trPr>
        <w:tc>
          <w:tcPr>
            <w:tcW w:w="805" w:type="dxa"/>
            <w:tcBorders>
              <w:right w:val="double" w:sz="4" w:space="0" w:color="auto"/>
            </w:tcBorders>
            <w:shd w:val="clear" w:color="auto" w:fill="auto"/>
            <w:vAlign w:val="center"/>
          </w:tcPr>
          <w:p w:rsidR="00776EDA" w:rsidRPr="00B916EC" w:rsidRDefault="00776EDA" w:rsidP="00F76EAB">
            <w:pPr>
              <w:pStyle w:val="TAC"/>
              <w:rPr>
                <w:lang w:val="en-US"/>
              </w:rPr>
            </w:pPr>
            <w:r w:rsidRPr="00B916EC">
              <w:rPr>
                <w:lang w:val="en-US"/>
              </w:rPr>
              <w:t>1</w:t>
            </w:r>
          </w:p>
        </w:tc>
        <w:tc>
          <w:tcPr>
            <w:tcW w:w="885" w:type="dxa"/>
            <w:tcBorders>
              <w:left w:val="double" w:sz="4" w:space="0" w:color="auto"/>
            </w:tcBorders>
            <w:vAlign w:val="center"/>
          </w:tcPr>
          <w:p w:rsidR="00776EDA" w:rsidRPr="00B916EC" w:rsidRDefault="00776EDA" w:rsidP="00F76EAB">
            <w:pPr>
              <w:pStyle w:val="TAC"/>
              <w:rPr>
                <w:lang w:val="en-US"/>
              </w:rPr>
            </w:pPr>
            <w:r w:rsidRPr="00B916EC">
              <w:rPr>
                <w:rStyle w:val="CommentReference"/>
                <w:rFonts w:cs="Arial"/>
                <w:szCs w:val="18"/>
              </w:rPr>
              <w:t>0</w:t>
            </w:r>
          </w:p>
        </w:tc>
        <w:tc>
          <w:tcPr>
            <w:tcW w:w="3325" w:type="dxa"/>
            <w:vAlign w:val="center"/>
          </w:tcPr>
          <w:p w:rsidR="00776EDA" w:rsidRPr="00B916EC" w:rsidRDefault="00776EDA" w:rsidP="00F76EAB">
            <w:pPr>
              <w:pStyle w:val="TAC"/>
              <w:rPr>
                <w:lang w:val="en-US"/>
              </w:rPr>
            </w:pPr>
            <w:r w:rsidRPr="00B916EC">
              <w:rPr>
                <w:rStyle w:val="CommentReference"/>
                <w:rFonts w:cs="Arial"/>
                <w:szCs w:val="18"/>
              </w:rPr>
              <w:t>2</w:t>
            </w:r>
          </w:p>
        </w:tc>
        <w:tc>
          <w:tcPr>
            <w:tcW w:w="973" w:type="dxa"/>
            <w:vAlign w:val="center"/>
          </w:tcPr>
          <w:p w:rsidR="00776EDA" w:rsidRPr="00B916EC" w:rsidRDefault="00776EDA" w:rsidP="00F76EAB">
            <w:pPr>
              <w:pStyle w:val="TAC"/>
              <w:rPr>
                <w:lang w:val="en-US"/>
              </w:rPr>
            </w:pPr>
            <w:r w:rsidRPr="00B916EC">
              <w:rPr>
                <w:rStyle w:val="CommentReference"/>
                <w:rFonts w:cs="Arial"/>
                <w:szCs w:val="18"/>
              </w:rPr>
              <w:t>1</w:t>
            </w:r>
            <w:r>
              <w:rPr>
                <w:rStyle w:val="CommentReference"/>
                <w:rFonts w:cs="Arial"/>
                <w:szCs w:val="18"/>
              </w:rPr>
              <w:t>/2</w:t>
            </w:r>
          </w:p>
        </w:tc>
        <w:tc>
          <w:tcPr>
            <w:tcW w:w="3445" w:type="dxa"/>
            <w:vAlign w:val="center"/>
          </w:tcPr>
          <w:p w:rsidR="00776EDA" w:rsidRPr="00B916EC" w:rsidRDefault="00776EDA" w:rsidP="00F76EAB">
            <w:pPr>
              <w:pStyle w:val="TAC"/>
              <w:rPr>
                <w:lang w:val="en-US"/>
              </w:rPr>
            </w:pPr>
            <w:r w:rsidRPr="00B916EC">
              <w:rPr>
                <w:rStyle w:val="CommentReference"/>
                <w:rFonts w:cs="Arial"/>
                <w:szCs w:val="18"/>
              </w:rPr>
              <w:t>{0</w:t>
            </w:r>
            <w:r>
              <w:rPr>
                <w:rStyle w:val="CommentReference"/>
                <w:rFonts w:cs="Arial"/>
                <w:szCs w:val="18"/>
              </w:rPr>
              <w:t xml:space="preserve">, if </w:t>
            </w:r>
            <w:r>
              <w:rPr>
                <w:noProof/>
                <w:position w:val="-6"/>
                <w:lang w:val="en-US" w:eastAsia="zh-TW"/>
              </w:rPr>
              <w:drawing>
                <wp:inline distT="0" distB="0" distL="0" distR="0">
                  <wp:extent cx="90805" cy="181610"/>
                  <wp:effectExtent l="0" t="0" r="4445"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lang w:val="en-US" w:eastAsia="zh-TW"/>
              </w:rPr>
              <w:drawing>
                <wp:inline distT="0" distB="0" distL="0" distR="0">
                  <wp:extent cx="48133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330" cy="219075"/>
                          </a:xfrm>
                          <a:prstGeom prst="rect">
                            <a:avLst/>
                          </a:prstGeom>
                          <a:noFill/>
                          <a:ln>
                            <a:noFill/>
                          </a:ln>
                        </pic:spPr>
                      </pic:pic>
                    </a:graphicData>
                  </a:graphic>
                </wp:inline>
              </w:drawing>
            </w:r>
            <w:r>
              <w:t xml:space="preserve">, if </w:t>
            </w:r>
            <w:r>
              <w:rPr>
                <w:noProof/>
                <w:position w:val="-6"/>
                <w:lang w:val="en-US" w:eastAsia="zh-TW"/>
              </w:rPr>
              <w:drawing>
                <wp:inline distT="0" distB="0" distL="0" distR="0">
                  <wp:extent cx="90805" cy="181610"/>
                  <wp:effectExtent l="0" t="0" r="4445"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776EDA" w:rsidRPr="00B916EC" w:rsidTr="002F2EA1">
        <w:trPr>
          <w:cantSplit/>
        </w:trPr>
        <w:tc>
          <w:tcPr>
            <w:tcW w:w="805" w:type="dxa"/>
            <w:tcBorders>
              <w:right w:val="double" w:sz="4" w:space="0" w:color="auto"/>
            </w:tcBorders>
            <w:shd w:val="clear" w:color="auto" w:fill="auto"/>
            <w:vAlign w:val="center"/>
          </w:tcPr>
          <w:p w:rsidR="00776EDA" w:rsidRPr="00B916EC" w:rsidRDefault="00776EDA" w:rsidP="00F76EAB">
            <w:pPr>
              <w:pStyle w:val="TAC"/>
            </w:pPr>
            <w:r w:rsidRPr="00B916EC">
              <w:t>2</w:t>
            </w:r>
          </w:p>
        </w:tc>
        <w:tc>
          <w:tcPr>
            <w:tcW w:w="885" w:type="dxa"/>
            <w:tcBorders>
              <w:left w:val="double" w:sz="4" w:space="0" w:color="auto"/>
            </w:tcBorders>
            <w:vAlign w:val="center"/>
          </w:tcPr>
          <w:p w:rsidR="00776EDA" w:rsidRPr="00B916EC" w:rsidRDefault="00776EDA" w:rsidP="00F76EAB">
            <w:pPr>
              <w:pStyle w:val="TAC"/>
            </w:pPr>
            <w:r w:rsidRPr="00B916EC">
              <w:rPr>
                <w:rStyle w:val="CommentReference"/>
                <w:rFonts w:cs="Arial"/>
                <w:szCs w:val="18"/>
              </w:rPr>
              <w:t>2</w:t>
            </w:r>
          </w:p>
        </w:tc>
        <w:tc>
          <w:tcPr>
            <w:tcW w:w="3325" w:type="dxa"/>
            <w:vAlign w:val="center"/>
          </w:tcPr>
          <w:p w:rsidR="00776EDA" w:rsidRPr="00B916EC" w:rsidRDefault="00776EDA" w:rsidP="00F76EAB">
            <w:pPr>
              <w:pStyle w:val="TAC"/>
            </w:pPr>
            <w:r w:rsidRPr="00B916EC">
              <w:rPr>
                <w:rStyle w:val="CommentReference"/>
                <w:rFonts w:cs="Arial"/>
                <w:szCs w:val="18"/>
              </w:rPr>
              <w:t>1</w:t>
            </w:r>
          </w:p>
        </w:tc>
        <w:tc>
          <w:tcPr>
            <w:tcW w:w="973" w:type="dxa"/>
            <w:vAlign w:val="center"/>
          </w:tcPr>
          <w:p w:rsidR="00776EDA" w:rsidRPr="00B916EC" w:rsidRDefault="00776EDA" w:rsidP="00F76EAB">
            <w:pPr>
              <w:pStyle w:val="TAC"/>
            </w:pPr>
            <w:r w:rsidRPr="00B916EC">
              <w:rPr>
                <w:rStyle w:val="CommentReference"/>
                <w:rFonts w:cs="Arial"/>
                <w:szCs w:val="18"/>
              </w:rPr>
              <w:t>1</w:t>
            </w:r>
          </w:p>
        </w:tc>
        <w:tc>
          <w:tcPr>
            <w:tcW w:w="3445" w:type="dxa"/>
            <w:vAlign w:val="center"/>
          </w:tcPr>
          <w:p w:rsidR="00776EDA" w:rsidRPr="00B916EC" w:rsidRDefault="00776EDA" w:rsidP="00F76EAB">
            <w:pPr>
              <w:pStyle w:val="TAC"/>
            </w:pPr>
            <w:r w:rsidRPr="00B916EC">
              <w:rPr>
                <w:rStyle w:val="CommentReference"/>
                <w:rFonts w:cs="Arial"/>
                <w:szCs w:val="18"/>
              </w:rPr>
              <w:t>0</w:t>
            </w:r>
          </w:p>
        </w:tc>
      </w:tr>
      <w:tr w:rsidR="00776EDA" w:rsidRPr="00B916EC" w:rsidTr="002F2EA1">
        <w:trPr>
          <w:cantSplit/>
        </w:trPr>
        <w:tc>
          <w:tcPr>
            <w:tcW w:w="805" w:type="dxa"/>
            <w:tcBorders>
              <w:right w:val="double" w:sz="4" w:space="0" w:color="auto"/>
            </w:tcBorders>
            <w:shd w:val="clear" w:color="auto" w:fill="auto"/>
            <w:vAlign w:val="center"/>
          </w:tcPr>
          <w:p w:rsidR="00776EDA" w:rsidRPr="00B916EC" w:rsidRDefault="00776EDA" w:rsidP="00F76EAB">
            <w:pPr>
              <w:pStyle w:val="TAC"/>
            </w:pPr>
            <w:r w:rsidRPr="00B916EC">
              <w:t>3</w:t>
            </w:r>
          </w:p>
        </w:tc>
        <w:tc>
          <w:tcPr>
            <w:tcW w:w="885" w:type="dxa"/>
            <w:tcBorders>
              <w:left w:val="double" w:sz="4" w:space="0" w:color="auto"/>
            </w:tcBorders>
            <w:vAlign w:val="center"/>
          </w:tcPr>
          <w:p w:rsidR="00776EDA" w:rsidRPr="00B916EC" w:rsidRDefault="00776EDA" w:rsidP="00F76EAB">
            <w:pPr>
              <w:pStyle w:val="TAC"/>
            </w:pPr>
            <w:r w:rsidRPr="00B916EC">
              <w:rPr>
                <w:rStyle w:val="CommentReference"/>
                <w:rFonts w:cs="Arial"/>
                <w:szCs w:val="18"/>
              </w:rPr>
              <w:t>2</w:t>
            </w:r>
          </w:p>
        </w:tc>
        <w:tc>
          <w:tcPr>
            <w:tcW w:w="3325" w:type="dxa"/>
            <w:vAlign w:val="center"/>
          </w:tcPr>
          <w:p w:rsidR="00776EDA" w:rsidRPr="00B916EC" w:rsidRDefault="00776EDA" w:rsidP="00F76EAB">
            <w:pPr>
              <w:pStyle w:val="TAC"/>
            </w:pPr>
            <w:r w:rsidRPr="00B916EC">
              <w:rPr>
                <w:rStyle w:val="CommentReference"/>
                <w:rFonts w:cs="Arial"/>
                <w:szCs w:val="18"/>
              </w:rPr>
              <w:t>2</w:t>
            </w:r>
          </w:p>
        </w:tc>
        <w:tc>
          <w:tcPr>
            <w:tcW w:w="973" w:type="dxa"/>
            <w:vAlign w:val="center"/>
          </w:tcPr>
          <w:p w:rsidR="00776EDA" w:rsidRPr="00B916EC" w:rsidRDefault="00776EDA" w:rsidP="00F76EAB">
            <w:pPr>
              <w:pStyle w:val="TAC"/>
            </w:pPr>
            <w:r w:rsidRPr="00B916EC">
              <w:rPr>
                <w:rStyle w:val="CommentReference"/>
                <w:rFonts w:cs="Arial"/>
                <w:szCs w:val="18"/>
              </w:rPr>
              <w:t>1</w:t>
            </w:r>
            <w:r>
              <w:rPr>
                <w:rStyle w:val="CommentReference"/>
                <w:rFonts w:cs="Arial"/>
                <w:szCs w:val="18"/>
              </w:rPr>
              <w:t>/2</w:t>
            </w:r>
          </w:p>
        </w:tc>
        <w:tc>
          <w:tcPr>
            <w:tcW w:w="3445" w:type="dxa"/>
            <w:vAlign w:val="center"/>
          </w:tcPr>
          <w:p w:rsidR="00776EDA" w:rsidRPr="00B916EC" w:rsidRDefault="00776EDA" w:rsidP="00F76EAB">
            <w:pPr>
              <w:pStyle w:val="TAC"/>
            </w:pPr>
            <w:r w:rsidRPr="00B916EC">
              <w:rPr>
                <w:rStyle w:val="CommentReference"/>
                <w:rFonts w:cs="Arial"/>
                <w:szCs w:val="18"/>
              </w:rPr>
              <w:t>{0</w:t>
            </w:r>
            <w:r>
              <w:rPr>
                <w:rStyle w:val="CommentReference"/>
                <w:rFonts w:cs="Arial"/>
                <w:szCs w:val="18"/>
              </w:rPr>
              <w:t xml:space="preserve">, if </w:t>
            </w:r>
            <w:r>
              <w:rPr>
                <w:noProof/>
                <w:position w:val="-6"/>
                <w:lang w:val="en-US" w:eastAsia="zh-TW"/>
              </w:rPr>
              <w:drawing>
                <wp:inline distT="0" distB="0" distL="0" distR="0">
                  <wp:extent cx="90805" cy="181610"/>
                  <wp:effectExtent l="0" t="0" r="4445" b="889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lang w:val="en-US" w:eastAsia="zh-TW"/>
              </w:rPr>
              <w:drawing>
                <wp:inline distT="0" distB="0" distL="0" distR="0">
                  <wp:extent cx="481330" cy="2190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330" cy="219075"/>
                          </a:xfrm>
                          <a:prstGeom prst="rect">
                            <a:avLst/>
                          </a:prstGeom>
                          <a:noFill/>
                          <a:ln>
                            <a:noFill/>
                          </a:ln>
                        </pic:spPr>
                      </pic:pic>
                    </a:graphicData>
                  </a:graphic>
                </wp:inline>
              </w:drawing>
            </w:r>
            <w:r>
              <w:t xml:space="preserve">, if </w:t>
            </w:r>
            <w:r>
              <w:rPr>
                <w:noProof/>
                <w:position w:val="-6"/>
                <w:lang w:val="en-US" w:eastAsia="zh-TW"/>
              </w:rPr>
              <w:drawing>
                <wp:inline distT="0" distB="0" distL="0" distR="0">
                  <wp:extent cx="90805" cy="181610"/>
                  <wp:effectExtent l="0" t="0" r="4445"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776EDA" w:rsidRPr="00B916EC" w:rsidTr="002F2EA1">
        <w:trPr>
          <w:cantSplit/>
        </w:trPr>
        <w:tc>
          <w:tcPr>
            <w:tcW w:w="805" w:type="dxa"/>
            <w:tcBorders>
              <w:right w:val="double" w:sz="4" w:space="0" w:color="auto"/>
            </w:tcBorders>
            <w:shd w:val="clear" w:color="auto" w:fill="auto"/>
            <w:vAlign w:val="center"/>
          </w:tcPr>
          <w:p w:rsidR="00776EDA" w:rsidRPr="00B916EC" w:rsidRDefault="00776EDA" w:rsidP="00F76EAB">
            <w:pPr>
              <w:pStyle w:val="TAC"/>
            </w:pPr>
            <w:r w:rsidRPr="00B916EC">
              <w:t>4</w:t>
            </w:r>
          </w:p>
        </w:tc>
        <w:tc>
          <w:tcPr>
            <w:tcW w:w="885" w:type="dxa"/>
            <w:tcBorders>
              <w:left w:val="double" w:sz="4" w:space="0" w:color="auto"/>
            </w:tcBorders>
            <w:vAlign w:val="center"/>
          </w:tcPr>
          <w:p w:rsidR="00776EDA" w:rsidRPr="00B916EC" w:rsidRDefault="00776EDA" w:rsidP="00F76EAB">
            <w:pPr>
              <w:pStyle w:val="TAC"/>
            </w:pPr>
            <w:r w:rsidRPr="00B916EC">
              <w:rPr>
                <w:rStyle w:val="CommentReference"/>
                <w:rFonts w:cs="Arial"/>
                <w:szCs w:val="18"/>
              </w:rPr>
              <w:t>5</w:t>
            </w:r>
          </w:p>
        </w:tc>
        <w:tc>
          <w:tcPr>
            <w:tcW w:w="3325" w:type="dxa"/>
            <w:vAlign w:val="center"/>
          </w:tcPr>
          <w:p w:rsidR="00776EDA" w:rsidRPr="00B916EC" w:rsidRDefault="00776EDA" w:rsidP="00F76EAB">
            <w:pPr>
              <w:pStyle w:val="TAC"/>
            </w:pPr>
            <w:r w:rsidRPr="00B916EC">
              <w:rPr>
                <w:rStyle w:val="CommentReference"/>
                <w:rFonts w:cs="Arial"/>
                <w:szCs w:val="18"/>
              </w:rPr>
              <w:t>1</w:t>
            </w:r>
          </w:p>
        </w:tc>
        <w:tc>
          <w:tcPr>
            <w:tcW w:w="973" w:type="dxa"/>
            <w:vAlign w:val="center"/>
          </w:tcPr>
          <w:p w:rsidR="00776EDA" w:rsidRPr="00B916EC" w:rsidRDefault="00776EDA" w:rsidP="00F76EAB">
            <w:pPr>
              <w:pStyle w:val="TAC"/>
            </w:pPr>
            <w:r w:rsidRPr="00B916EC">
              <w:rPr>
                <w:rStyle w:val="CommentReference"/>
                <w:rFonts w:cs="Arial"/>
                <w:szCs w:val="18"/>
              </w:rPr>
              <w:t>1</w:t>
            </w:r>
          </w:p>
        </w:tc>
        <w:tc>
          <w:tcPr>
            <w:tcW w:w="3445" w:type="dxa"/>
            <w:vAlign w:val="center"/>
          </w:tcPr>
          <w:p w:rsidR="00776EDA" w:rsidRPr="00B916EC" w:rsidRDefault="00776EDA" w:rsidP="00F76EAB">
            <w:pPr>
              <w:pStyle w:val="TAC"/>
            </w:pPr>
            <w:r w:rsidRPr="00B916EC">
              <w:rPr>
                <w:rStyle w:val="CommentReference"/>
                <w:rFonts w:cs="Arial"/>
                <w:szCs w:val="18"/>
              </w:rPr>
              <w:t>0</w:t>
            </w:r>
          </w:p>
        </w:tc>
      </w:tr>
      <w:tr w:rsidR="00776EDA" w:rsidRPr="00B916EC" w:rsidTr="002F2EA1">
        <w:trPr>
          <w:cantSplit/>
        </w:trPr>
        <w:tc>
          <w:tcPr>
            <w:tcW w:w="805" w:type="dxa"/>
            <w:tcBorders>
              <w:right w:val="double" w:sz="4" w:space="0" w:color="auto"/>
            </w:tcBorders>
            <w:shd w:val="clear" w:color="auto" w:fill="auto"/>
            <w:vAlign w:val="center"/>
          </w:tcPr>
          <w:p w:rsidR="00776EDA" w:rsidRPr="00B916EC" w:rsidRDefault="00776EDA" w:rsidP="00F76EAB">
            <w:pPr>
              <w:pStyle w:val="TAC"/>
            </w:pPr>
            <w:r w:rsidRPr="00B916EC">
              <w:t>5</w:t>
            </w:r>
          </w:p>
        </w:tc>
        <w:tc>
          <w:tcPr>
            <w:tcW w:w="885" w:type="dxa"/>
            <w:tcBorders>
              <w:left w:val="double" w:sz="4" w:space="0" w:color="auto"/>
            </w:tcBorders>
            <w:vAlign w:val="center"/>
          </w:tcPr>
          <w:p w:rsidR="00776EDA" w:rsidRPr="00B916EC" w:rsidRDefault="00776EDA" w:rsidP="00F76EAB">
            <w:pPr>
              <w:pStyle w:val="TAC"/>
            </w:pPr>
            <w:r w:rsidRPr="00B916EC">
              <w:rPr>
                <w:rStyle w:val="CommentReference"/>
                <w:rFonts w:cs="Arial"/>
                <w:szCs w:val="18"/>
              </w:rPr>
              <w:t>5</w:t>
            </w:r>
          </w:p>
        </w:tc>
        <w:tc>
          <w:tcPr>
            <w:tcW w:w="3325" w:type="dxa"/>
            <w:vAlign w:val="center"/>
          </w:tcPr>
          <w:p w:rsidR="00776EDA" w:rsidRPr="00B916EC" w:rsidRDefault="00776EDA" w:rsidP="00F76EAB">
            <w:pPr>
              <w:pStyle w:val="TAC"/>
            </w:pPr>
            <w:r w:rsidRPr="00B916EC">
              <w:rPr>
                <w:rStyle w:val="CommentReference"/>
                <w:rFonts w:cs="Arial"/>
                <w:szCs w:val="18"/>
              </w:rPr>
              <w:t>2</w:t>
            </w:r>
          </w:p>
        </w:tc>
        <w:tc>
          <w:tcPr>
            <w:tcW w:w="973" w:type="dxa"/>
            <w:vAlign w:val="center"/>
          </w:tcPr>
          <w:p w:rsidR="00776EDA" w:rsidRPr="00B916EC" w:rsidRDefault="00776EDA" w:rsidP="00F76EAB">
            <w:pPr>
              <w:pStyle w:val="TAC"/>
            </w:pPr>
            <w:r w:rsidRPr="00B916EC">
              <w:rPr>
                <w:rStyle w:val="CommentReference"/>
                <w:rFonts w:cs="Arial"/>
                <w:szCs w:val="18"/>
              </w:rPr>
              <w:t>1</w:t>
            </w:r>
            <w:r>
              <w:rPr>
                <w:rStyle w:val="CommentReference"/>
                <w:rFonts w:cs="Arial"/>
                <w:szCs w:val="18"/>
              </w:rPr>
              <w:t>/2</w:t>
            </w:r>
          </w:p>
        </w:tc>
        <w:tc>
          <w:tcPr>
            <w:tcW w:w="3445" w:type="dxa"/>
            <w:vAlign w:val="center"/>
          </w:tcPr>
          <w:p w:rsidR="00776EDA" w:rsidRPr="00B916EC" w:rsidRDefault="00776EDA" w:rsidP="00F76EAB">
            <w:pPr>
              <w:pStyle w:val="TAC"/>
            </w:pPr>
            <w:r w:rsidRPr="00B916EC">
              <w:rPr>
                <w:rStyle w:val="CommentReference"/>
                <w:rFonts w:cs="Arial"/>
                <w:szCs w:val="18"/>
              </w:rPr>
              <w:t>{0</w:t>
            </w:r>
            <w:r>
              <w:rPr>
                <w:rStyle w:val="CommentReference"/>
                <w:rFonts w:cs="Arial"/>
                <w:szCs w:val="18"/>
              </w:rPr>
              <w:t xml:space="preserve">, if </w:t>
            </w:r>
            <w:r>
              <w:rPr>
                <w:noProof/>
                <w:position w:val="-6"/>
                <w:lang w:val="en-US" w:eastAsia="zh-TW"/>
              </w:rPr>
              <w:drawing>
                <wp:inline distT="0" distB="0" distL="0" distR="0">
                  <wp:extent cx="90805" cy="181610"/>
                  <wp:effectExtent l="0" t="0" r="4445"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lang w:val="en-US" w:eastAsia="zh-TW"/>
              </w:rPr>
              <w:drawing>
                <wp:inline distT="0" distB="0" distL="0" distR="0">
                  <wp:extent cx="481330" cy="2190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330" cy="219075"/>
                          </a:xfrm>
                          <a:prstGeom prst="rect">
                            <a:avLst/>
                          </a:prstGeom>
                          <a:noFill/>
                          <a:ln>
                            <a:noFill/>
                          </a:ln>
                        </pic:spPr>
                      </pic:pic>
                    </a:graphicData>
                  </a:graphic>
                </wp:inline>
              </w:drawing>
            </w:r>
            <w:r>
              <w:t xml:space="preserve">, if </w:t>
            </w:r>
            <w:r>
              <w:rPr>
                <w:noProof/>
                <w:position w:val="-6"/>
                <w:lang w:val="en-US" w:eastAsia="zh-TW"/>
              </w:rPr>
              <w:drawing>
                <wp:inline distT="0" distB="0" distL="0" distR="0">
                  <wp:extent cx="90805" cy="181610"/>
                  <wp:effectExtent l="0" t="0" r="4445" b="889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776EDA" w:rsidRPr="00B916EC" w:rsidTr="002F2EA1">
        <w:trPr>
          <w:cantSplit/>
        </w:trPr>
        <w:tc>
          <w:tcPr>
            <w:tcW w:w="805" w:type="dxa"/>
            <w:tcBorders>
              <w:right w:val="double" w:sz="4" w:space="0" w:color="auto"/>
            </w:tcBorders>
            <w:shd w:val="clear" w:color="auto" w:fill="auto"/>
            <w:vAlign w:val="center"/>
          </w:tcPr>
          <w:p w:rsidR="00776EDA" w:rsidRPr="00B916EC" w:rsidRDefault="00776EDA" w:rsidP="00F76EAB">
            <w:pPr>
              <w:pStyle w:val="TAC"/>
            </w:pPr>
            <w:r w:rsidRPr="00B916EC">
              <w:t>6</w:t>
            </w:r>
          </w:p>
        </w:tc>
        <w:tc>
          <w:tcPr>
            <w:tcW w:w="885" w:type="dxa"/>
            <w:tcBorders>
              <w:left w:val="double" w:sz="4" w:space="0" w:color="auto"/>
            </w:tcBorders>
            <w:vAlign w:val="center"/>
          </w:tcPr>
          <w:p w:rsidR="00776EDA" w:rsidRPr="00B916EC" w:rsidRDefault="00776EDA" w:rsidP="00F76EAB">
            <w:pPr>
              <w:pStyle w:val="TAC"/>
            </w:pPr>
            <w:r w:rsidRPr="00B916EC">
              <w:rPr>
                <w:rStyle w:val="CommentReference"/>
                <w:rFonts w:cs="Arial"/>
                <w:szCs w:val="18"/>
              </w:rPr>
              <w:t>7</w:t>
            </w:r>
          </w:p>
        </w:tc>
        <w:tc>
          <w:tcPr>
            <w:tcW w:w="3325" w:type="dxa"/>
            <w:vAlign w:val="center"/>
          </w:tcPr>
          <w:p w:rsidR="00776EDA" w:rsidRPr="00B916EC" w:rsidRDefault="00776EDA" w:rsidP="00F76EAB">
            <w:pPr>
              <w:pStyle w:val="TAC"/>
            </w:pPr>
            <w:r w:rsidRPr="00B916EC">
              <w:rPr>
                <w:rStyle w:val="CommentReference"/>
                <w:rFonts w:cs="Arial"/>
                <w:szCs w:val="18"/>
              </w:rPr>
              <w:t>1</w:t>
            </w:r>
          </w:p>
        </w:tc>
        <w:tc>
          <w:tcPr>
            <w:tcW w:w="973" w:type="dxa"/>
            <w:vAlign w:val="center"/>
          </w:tcPr>
          <w:p w:rsidR="00776EDA" w:rsidRPr="00B916EC" w:rsidRDefault="00776EDA" w:rsidP="00F76EAB">
            <w:pPr>
              <w:pStyle w:val="TAC"/>
            </w:pPr>
            <w:r w:rsidRPr="00B916EC">
              <w:rPr>
                <w:rStyle w:val="CommentReference"/>
                <w:rFonts w:cs="Arial"/>
                <w:szCs w:val="18"/>
              </w:rPr>
              <w:t>1</w:t>
            </w:r>
          </w:p>
        </w:tc>
        <w:tc>
          <w:tcPr>
            <w:tcW w:w="3445" w:type="dxa"/>
            <w:vAlign w:val="center"/>
          </w:tcPr>
          <w:p w:rsidR="00776EDA" w:rsidRPr="00B916EC" w:rsidRDefault="00776EDA" w:rsidP="00F76EAB">
            <w:pPr>
              <w:pStyle w:val="TAC"/>
            </w:pPr>
            <w:r w:rsidRPr="00B916EC">
              <w:rPr>
                <w:rStyle w:val="CommentReference"/>
                <w:rFonts w:cs="Arial"/>
                <w:szCs w:val="18"/>
              </w:rPr>
              <w:t>0</w:t>
            </w:r>
          </w:p>
        </w:tc>
      </w:tr>
      <w:tr w:rsidR="00776EDA" w:rsidRPr="00B916EC" w:rsidTr="002F2EA1">
        <w:trPr>
          <w:cantSplit/>
        </w:trPr>
        <w:tc>
          <w:tcPr>
            <w:tcW w:w="805" w:type="dxa"/>
            <w:tcBorders>
              <w:right w:val="double" w:sz="4" w:space="0" w:color="auto"/>
            </w:tcBorders>
            <w:shd w:val="clear" w:color="auto" w:fill="auto"/>
            <w:vAlign w:val="center"/>
          </w:tcPr>
          <w:p w:rsidR="00776EDA" w:rsidRPr="00B916EC" w:rsidRDefault="00776EDA" w:rsidP="00F76EAB">
            <w:pPr>
              <w:pStyle w:val="TAC"/>
            </w:pPr>
            <w:r w:rsidRPr="00B916EC">
              <w:t>7</w:t>
            </w:r>
          </w:p>
        </w:tc>
        <w:tc>
          <w:tcPr>
            <w:tcW w:w="885" w:type="dxa"/>
            <w:tcBorders>
              <w:left w:val="double" w:sz="4" w:space="0" w:color="auto"/>
            </w:tcBorders>
            <w:vAlign w:val="center"/>
          </w:tcPr>
          <w:p w:rsidR="00776EDA" w:rsidRPr="00B916EC" w:rsidRDefault="00776EDA" w:rsidP="00F76EAB">
            <w:pPr>
              <w:pStyle w:val="TAC"/>
            </w:pPr>
            <w:r w:rsidRPr="00B916EC">
              <w:rPr>
                <w:rStyle w:val="CommentReference"/>
                <w:rFonts w:cs="Arial"/>
                <w:szCs w:val="18"/>
              </w:rPr>
              <w:t>7</w:t>
            </w:r>
          </w:p>
        </w:tc>
        <w:tc>
          <w:tcPr>
            <w:tcW w:w="3325" w:type="dxa"/>
            <w:vAlign w:val="center"/>
          </w:tcPr>
          <w:p w:rsidR="00776EDA" w:rsidRPr="00B916EC" w:rsidRDefault="00776EDA" w:rsidP="00F76EAB">
            <w:pPr>
              <w:pStyle w:val="TAC"/>
            </w:pPr>
            <w:r w:rsidRPr="00B916EC">
              <w:rPr>
                <w:rStyle w:val="CommentReference"/>
                <w:rFonts w:cs="Arial"/>
                <w:szCs w:val="18"/>
              </w:rPr>
              <w:t>2</w:t>
            </w:r>
          </w:p>
        </w:tc>
        <w:tc>
          <w:tcPr>
            <w:tcW w:w="973" w:type="dxa"/>
            <w:vAlign w:val="center"/>
          </w:tcPr>
          <w:p w:rsidR="00776EDA" w:rsidRPr="00B916EC" w:rsidRDefault="00776EDA" w:rsidP="00F76EAB">
            <w:pPr>
              <w:pStyle w:val="TAC"/>
            </w:pPr>
            <w:r w:rsidRPr="00B916EC">
              <w:rPr>
                <w:rStyle w:val="CommentReference"/>
                <w:rFonts w:cs="Arial"/>
                <w:szCs w:val="18"/>
              </w:rPr>
              <w:t>1</w:t>
            </w:r>
            <w:r>
              <w:rPr>
                <w:rStyle w:val="CommentReference"/>
                <w:rFonts w:cs="Arial"/>
                <w:szCs w:val="18"/>
              </w:rPr>
              <w:t>/2</w:t>
            </w:r>
          </w:p>
        </w:tc>
        <w:tc>
          <w:tcPr>
            <w:tcW w:w="3445" w:type="dxa"/>
            <w:vAlign w:val="center"/>
          </w:tcPr>
          <w:p w:rsidR="00776EDA" w:rsidRPr="00B916EC" w:rsidRDefault="00776EDA" w:rsidP="00F76EAB">
            <w:pPr>
              <w:pStyle w:val="TAC"/>
            </w:pPr>
            <w:r w:rsidRPr="00B916EC">
              <w:rPr>
                <w:rStyle w:val="CommentReference"/>
                <w:rFonts w:cs="Arial"/>
                <w:szCs w:val="18"/>
              </w:rPr>
              <w:t>{0</w:t>
            </w:r>
            <w:r>
              <w:rPr>
                <w:rStyle w:val="CommentReference"/>
                <w:rFonts w:cs="Arial"/>
                <w:szCs w:val="18"/>
              </w:rPr>
              <w:t xml:space="preserve">, if </w:t>
            </w:r>
            <w:r>
              <w:rPr>
                <w:noProof/>
                <w:position w:val="-6"/>
                <w:lang w:val="en-US" w:eastAsia="zh-TW"/>
              </w:rPr>
              <w:drawing>
                <wp:inline distT="0" distB="0" distL="0" distR="0">
                  <wp:extent cx="90805" cy="181610"/>
                  <wp:effectExtent l="0" t="0" r="4445"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lang w:val="en-US" w:eastAsia="zh-TW"/>
              </w:rPr>
              <w:drawing>
                <wp:inline distT="0" distB="0" distL="0" distR="0">
                  <wp:extent cx="481330" cy="2190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1330" cy="219075"/>
                          </a:xfrm>
                          <a:prstGeom prst="rect">
                            <a:avLst/>
                          </a:prstGeom>
                          <a:noFill/>
                          <a:ln>
                            <a:noFill/>
                          </a:ln>
                        </pic:spPr>
                      </pic:pic>
                    </a:graphicData>
                  </a:graphic>
                </wp:inline>
              </w:drawing>
            </w:r>
            <w:r>
              <w:t xml:space="preserve">, if </w:t>
            </w:r>
            <w:r>
              <w:rPr>
                <w:noProof/>
                <w:position w:val="-6"/>
                <w:lang w:val="en-US" w:eastAsia="zh-TW"/>
              </w:rPr>
              <w:drawing>
                <wp:inline distT="0" distB="0" distL="0" distR="0">
                  <wp:extent cx="90805" cy="181610"/>
                  <wp:effectExtent l="0" t="0" r="444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776EDA" w:rsidRPr="00B916EC" w:rsidTr="002F2EA1">
        <w:trPr>
          <w:cantSplit/>
        </w:trPr>
        <w:tc>
          <w:tcPr>
            <w:tcW w:w="805" w:type="dxa"/>
            <w:tcBorders>
              <w:right w:val="double" w:sz="4" w:space="0" w:color="auto"/>
            </w:tcBorders>
            <w:shd w:val="clear" w:color="auto" w:fill="auto"/>
            <w:vAlign w:val="center"/>
          </w:tcPr>
          <w:p w:rsidR="00776EDA" w:rsidRPr="00B916EC" w:rsidRDefault="00776EDA" w:rsidP="00F76EAB">
            <w:pPr>
              <w:pStyle w:val="TAC"/>
            </w:pPr>
            <w:r w:rsidRPr="00B916EC">
              <w:t>8</w:t>
            </w:r>
          </w:p>
        </w:tc>
        <w:tc>
          <w:tcPr>
            <w:tcW w:w="885" w:type="dxa"/>
            <w:tcBorders>
              <w:left w:val="double" w:sz="4" w:space="0" w:color="auto"/>
            </w:tcBorders>
            <w:vAlign w:val="center"/>
          </w:tcPr>
          <w:p w:rsidR="00776EDA" w:rsidRPr="00B916EC" w:rsidRDefault="00776EDA" w:rsidP="00F76EAB">
            <w:pPr>
              <w:pStyle w:val="TAC"/>
            </w:pPr>
            <w:r w:rsidRPr="00B916EC">
              <w:rPr>
                <w:rStyle w:val="CommentReference"/>
                <w:rFonts w:cs="Arial"/>
                <w:szCs w:val="18"/>
              </w:rPr>
              <w:t>0</w:t>
            </w:r>
          </w:p>
        </w:tc>
        <w:tc>
          <w:tcPr>
            <w:tcW w:w="3325" w:type="dxa"/>
            <w:vAlign w:val="center"/>
          </w:tcPr>
          <w:p w:rsidR="00776EDA" w:rsidRPr="00B916EC" w:rsidRDefault="00776EDA" w:rsidP="00F76EAB">
            <w:pPr>
              <w:pStyle w:val="TAC"/>
            </w:pPr>
            <w:r w:rsidRPr="00B916EC">
              <w:rPr>
                <w:rStyle w:val="CommentReference"/>
                <w:rFonts w:cs="Arial"/>
                <w:szCs w:val="18"/>
              </w:rPr>
              <w:t>1</w:t>
            </w:r>
          </w:p>
        </w:tc>
        <w:tc>
          <w:tcPr>
            <w:tcW w:w="973" w:type="dxa"/>
            <w:vAlign w:val="center"/>
          </w:tcPr>
          <w:p w:rsidR="00776EDA" w:rsidRPr="00B916EC" w:rsidRDefault="00776EDA" w:rsidP="00F76EAB">
            <w:pPr>
              <w:pStyle w:val="TAC"/>
            </w:pPr>
            <w:r w:rsidRPr="00B916EC">
              <w:rPr>
                <w:rStyle w:val="CommentReference"/>
                <w:rFonts w:cs="Arial"/>
                <w:szCs w:val="18"/>
              </w:rPr>
              <w:t>2</w:t>
            </w:r>
          </w:p>
        </w:tc>
        <w:tc>
          <w:tcPr>
            <w:tcW w:w="3445" w:type="dxa"/>
            <w:vAlign w:val="center"/>
          </w:tcPr>
          <w:p w:rsidR="00776EDA" w:rsidRPr="00B916EC" w:rsidRDefault="00776EDA" w:rsidP="00F76EAB">
            <w:pPr>
              <w:pStyle w:val="TAC"/>
            </w:pPr>
            <w:r w:rsidRPr="00B916EC">
              <w:rPr>
                <w:rStyle w:val="CommentReference"/>
                <w:rFonts w:cs="Arial"/>
                <w:szCs w:val="18"/>
              </w:rPr>
              <w:t>0</w:t>
            </w:r>
          </w:p>
        </w:tc>
      </w:tr>
      <w:tr w:rsidR="00776EDA" w:rsidRPr="00B916EC" w:rsidTr="002F2EA1">
        <w:trPr>
          <w:cantSplit/>
        </w:trPr>
        <w:tc>
          <w:tcPr>
            <w:tcW w:w="805" w:type="dxa"/>
            <w:tcBorders>
              <w:right w:val="double" w:sz="4" w:space="0" w:color="auto"/>
            </w:tcBorders>
            <w:shd w:val="clear" w:color="auto" w:fill="auto"/>
            <w:vAlign w:val="center"/>
          </w:tcPr>
          <w:p w:rsidR="00776EDA" w:rsidRPr="00B916EC" w:rsidRDefault="00776EDA" w:rsidP="00F76EAB">
            <w:pPr>
              <w:pStyle w:val="TAC"/>
            </w:pPr>
            <w:r w:rsidRPr="00B916EC">
              <w:t>9</w:t>
            </w:r>
          </w:p>
        </w:tc>
        <w:tc>
          <w:tcPr>
            <w:tcW w:w="885" w:type="dxa"/>
            <w:tcBorders>
              <w:left w:val="double" w:sz="4" w:space="0" w:color="auto"/>
            </w:tcBorders>
            <w:vAlign w:val="center"/>
          </w:tcPr>
          <w:p w:rsidR="00776EDA" w:rsidRPr="00B916EC" w:rsidRDefault="00776EDA" w:rsidP="00F76EAB">
            <w:pPr>
              <w:pStyle w:val="TAC"/>
            </w:pPr>
            <w:r w:rsidRPr="00B916EC">
              <w:rPr>
                <w:rStyle w:val="CommentReference"/>
                <w:rFonts w:cs="Arial"/>
                <w:szCs w:val="18"/>
              </w:rPr>
              <w:t>5</w:t>
            </w:r>
          </w:p>
        </w:tc>
        <w:tc>
          <w:tcPr>
            <w:tcW w:w="3325" w:type="dxa"/>
            <w:vAlign w:val="center"/>
          </w:tcPr>
          <w:p w:rsidR="00776EDA" w:rsidRPr="00B916EC" w:rsidRDefault="00776EDA" w:rsidP="00F76EAB">
            <w:pPr>
              <w:pStyle w:val="TAC"/>
            </w:pPr>
            <w:r w:rsidRPr="00B916EC">
              <w:rPr>
                <w:rStyle w:val="CommentReference"/>
                <w:rFonts w:cs="Arial"/>
                <w:szCs w:val="18"/>
              </w:rPr>
              <w:t>1</w:t>
            </w:r>
          </w:p>
        </w:tc>
        <w:tc>
          <w:tcPr>
            <w:tcW w:w="973" w:type="dxa"/>
            <w:vAlign w:val="center"/>
          </w:tcPr>
          <w:p w:rsidR="00776EDA" w:rsidRPr="00B916EC" w:rsidRDefault="00776EDA" w:rsidP="00F76EAB">
            <w:pPr>
              <w:pStyle w:val="TAC"/>
            </w:pPr>
            <w:r w:rsidRPr="00B916EC">
              <w:rPr>
                <w:rStyle w:val="CommentReference"/>
                <w:rFonts w:cs="Arial"/>
                <w:szCs w:val="18"/>
              </w:rPr>
              <w:t>2</w:t>
            </w:r>
          </w:p>
        </w:tc>
        <w:tc>
          <w:tcPr>
            <w:tcW w:w="3445" w:type="dxa"/>
            <w:vAlign w:val="center"/>
          </w:tcPr>
          <w:p w:rsidR="00776EDA" w:rsidRPr="00B916EC" w:rsidRDefault="00776EDA" w:rsidP="00F76EAB">
            <w:pPr>
              <w:pStyle w:val="TAC"/>
            </w:pPr>
            <w:r w:rsidRPr="00B916EC">
              <w:rPr>
                <w:rStyle w:val="CommentReference"/>
                <w:rFonts w:cs="Arial"/>
                <w:szCs w:val="18"/>
              </w:rPr>
              <w:t>0</w:t>
            </w:r>
          </w:p>
        </w:tc>
      </w:tr>
      <w:tr w:rsidR="002F2EA1" w:rsidRPr="00B916EC" w:rsidTr="002F2EA1">
        <w:trPr>
          <w:cantSplit/>
        </w:trPr>
        <w:tc>
          <w:tcPr>
            <w:tcW w:w="805" w:type="dxa"/>
            <w:tcBorders>
              <w:right w:val="double" w:sz="4" w:space="0" w:color="auto"/>
            </w:tcBorders>
            <w:shd w:val="clear" w:color="auto" w:fill="auto"/>
            <w:vAlign w:val="center"/>
          </w:tcPr>
          <w:p w:rsidR="002F2EA1" w:rsidRPr="009C1179" w:rsidRDefault="002F2EA1" w:rsidP="002F2EA1">
            <w:pPr>
              <w:pStyle w:val="TAC"/>
              <w:rPr>
                <w:color w:val="FF0000"/>
              </w:rPr>
            </w:pPr>
            <w:r w:rsidRPr="009C1179">
              <w:rPr>
                <w:color w:val="FF0000"/>
              </w:rPr>
              <w:t>10</w:t>
            </w:r>
          </w:p>
        </w:tc>
        <w:tc>
          <w:tcPr>
            <w:tcW w:w="885" w:type="dxa"/>
            <w:tcBorders>
              <w:left w:val="double" w:sz="4" w:space="0" w:color="auto"/>
            </w:tcBorders>
            <w:vAlign w:val="center"/>
          </w:tcPr>
          <w:p w:rsidR="002F2EA1" w:rsidRPr="009C1179" w:rsidRDefault="002F2EA1" w:rsidP="002F2EA1">
            <w:pPr>
              <w:pStyle w:val="TAC"/>
              <w:rPr>
                <w:color w:val="FF0000"/>
                <w:lang w:val="en-US"/>
              </w:rPr>
            </w:pPr>
            <w:r w:rsidRPr="009C1179">
              <w:rPr>
                <w:rStyle w:val="CommentReference"/>
                <w:rFonts w:cs="Arial"/>
                <w:color w:val="FF0000"/>
                <w:szCs w:val="18"/>
              </w:rPr>
              <w:t>0</w:t>
            </w:r>
          </w:p>
        </w:tc>
        <w:tc>
          <w:tcPr>
            <w:tcW w:w="3325" w:type="dxa"/>
            <w:vAlign w:val="center"/>
          </w:tcPr>
          <w:p w:rsidR="002F2EA1" w:rsidRPr="009C1179" w:rsidRDefault="002F2EA1" w:rsidP="002F2EA1">
            <w:pPr>
              <w:pStyle w:val="TAC"/>
              <w:rPr>
                <w:color w:val="FF0000"/>
                <w:lang w:val="en-US"/>
              </w:rPr>
            </w:pPr>
            <w:r w:rsidRPr="009C1179">
              <w:rPr>
                <w:rStyle w:val="CommentReference"/>
                <w:rFonts w:cs="Arial"/>
                <w:color w:val="FF0000"/>
                <w:szCs w:val="18"/>
              </w:rPr>
              <w:t>2</w:t>
            </w:r>
          </w:p>
        </w:tc>
        <w:tc>
          <w:tcPr>
            <w:tcW w:w="973" w:type="dxa"/>
            <w:vAlign w:val="center"/>
          </w:tcPr>
          <w:p w:rsidR="002F2EA1" w:rsidRPr="009C1179" w:rsidRDefault="002F2EA1" w:rsidP="002F2EA1">
            <w:pPr>
              <w:pStyle w:val="TAC"/>
              <w:rPr>
                <w:color w:val="FF0000"/>
                <w:lang w:val="en-US"/>
              </w:rPr>
            </w:pPr>
            <w:r w:rsidRPr="009C1179">
              <w:rPr>
                <w:rStyle w:val="CommentReference"/>
                <w:rFonts w:cs="Arial"/>
                <w:color w:val="FF0000"/>
                <w:szCs w:val="18"/>
              </w:rPr>
              <w:t>1/2</w:t>
            </w:r>
          </w:p>
        </w:tc>
        <w:tc>
          <w:tcPr>
            <w:tcW w:w="3445" w:type="dxa"/>
            <w:vAlign w:val="center"/>
          </w:tcPr>
          <w:p w:rsidR="002F2EA1" w:rsidRPr="009C1179" w:rsidRDefault="002F2EA1" w:rsidP="002F2EA1">
            <w:pPr>
              <w:pStyle w:val="TAC"/>
              <w:rPr>
                <w:color w:val="FF0000"/>
                <w:lang w:val="en-US"/>
              </w:rPr>
            </w:pPr>
            <w:r w:rsidRPr="009C1179">
              <w:rPr>
                <w:rStyle w:val="CommentReference"/>
                <w:rFonts w:cs="Arial"/>
                <w:color w:val="FF0000"/>
                <w:szCs w:val="18"/>
              </w:rPr>
              <w:t xml:space="preserve">{0, if </w:t>
            </w:r>
            <w:r w:rsidRPr="009C1179">
              <w:rPr>
                <w:noProof/>
                <w:color w:val="FF0000"/>
                <w:position w:val="-6"/>
                <w:lang w:val="en-US" w:eastAsia="zh-TW"/>
              </w:rPr>
              <w:drawing>
                <wp:inline distT="0" distB="0" distL="0" distR="0" wp14:anchorId="2B2F36BE" wp14:editId="4D53E7B9">
                  <wp:extent cx="90805" cy="181610"/>
                  <wp:effectExtent l="0" t="0" r="4445"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sidRPr="009C1179">
              <w:rPr>
                <w:color w:val="FF0000"/>
              </w:rPr>
              <w:t xml:space="preserve"> is even}</w:t>
            </w:r>
            <w:r w:rsidRPr="009C1179">
              <w:rPr>
                <w:rStyle w:val="CommentReference"/>
                <w:rFonts w:cs="Arial"/>
                <w:color w:val="FF0000"/>
                <w:szCs w:val="18"/>
              </w:rPr>
              <w:t>, {</w:t>
            </w:r>
            <w:r w:rsidR="00F95BF5" w:rsidRPr="009C1179">
              <w:rPr>
                <w:color w:val="FF0000"/>
              </w:rPr>
              <w:t xml:space="preserve">7, </w:t>
            </w:r>
            <w:r w:rsidRPr="009C1179">
              <w:rPr>
                <w:color w:val="FF0000"/>
              </w:rPr>
              <w:t xml:space="preserve">if </w:t>
            </w:r>
            <w:r w:rsidRPr="009C1179">
              <w:rPr>
                <w:noProof/>
                <w:color w:val="FF0000"/>
                <w:position w:val="-6"/>
                <w:lang w:val="en-US" w:eastAsia="zh-TW"/>
              </w:rPr>
              <w:drawing>
                <wp:inline distT="0" distB="0" distL="0" distR="0" wp14:anchorId="3CC65F2E" wp14:editId="213E3B42">
                  <wp:extent cx="90805" cy="181610"/>
                  <wp:effectExtent l="0" t="0" r="4445" b="889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sidRPr="009C1179">
              <w:rPr>
                <w:color w:val="FF0000"/>
              </w:rPr>
              <w:t xml:space="preserve"> is odd</w:t>
            </w:r>
            <w:r w:rsidRPr="009C1179">
              <w:rPr>
                <w:rStyle w:val="CommentReference"/>
                <w:rFonts w:cs="Arial"/>
                <w:color w:val="FF0000"/>
                <w:szCs w:val="18"/>
              </w:rPr>
              <w:t>}</w:t>
            </w:r>
          </w:p>
        </w:tc>
      </w:tr>
      <w:tr w:rsidR="002F2EA1" w:rsidRPr="00B916EC" w:rsidTr="002F2EA1">
        <w:trPr>
          <w:cantSplit/>
        </w:trPr>
        <w:tc>
          <w:tcPr>
            <w:tcW w:w="805" w:type="dxa"/>
            <w:tcBorders>
              <w:right w:val="double" w:sz="4" w:space="0" w:color="auto"/>
            </w:tcBorders>
            <w:shd w:val="clear" w:color="auto" w:fill="auto"/>
            <w:vAlign w:val="center"/>
          </w:tcPr>
          <w:p w:rsidR="002F2EA1" w:rsidRPr="009C1179" w:rsidRDefault="002F2EA1" w:rsidP="002F2EA1">
            <w:pPr>
              <w:pStyle w:val="TAC"/>
              <w:rPr>
                <w:color w:val="FF0000"/>
              </w:rPr>
            </w:pPr>
            <w:r w:rsidRPr="009C1179">
              <w:rPr>
                <w:color w:val="FF0000"/>
              </w:rPr>
              <w:t>11</w:t>
            </w:r>
          </w:p>
        </w:tc>
        <w:tc>
          <w:tcPr>
            <w:tcW w:w="885" w:type="dxa"/>
            <w:tcBorders>
              <w:left w:val="double" w:sz="4" w:space="0" w:color="auto"/>
            </w:tcBorders>
            <w:vAlign w:val="center"/>
          </w:tcPr>
          <w:p w:rsidR="002F2EA1" w:rsidRPr="009C1179" w:rsidRDefault="002F2EA1" w:rsidP="002F2EA1">
            <w:pPr>
              <w:pStyle w:val="TAC"/>
              <w:rPr>
                <w:color w:val="FF0000"/>
              </w:rPr>
            </w:pPr>
            <w:r w:rsidRPr="009C1179">
              <w:rPr>
                <w:rStyle w:val="CommentReference"/>
                <w:rFonts w:cs="Arial"/>
                <w:color w:val="FF0000"/>
                <w:szCs w:val="18"/>
              </w:rPr>
              <w:t>2</w:t>
            </w:r>
          </w:p>
        </w:tc>
        <w:tc>
          <w:tcPr>
            <w:tcW w:w="3325" w:type="dxa"/>
            <w:vAlign w:val="center"/>
          </w:tcPr>
          <w:p w:rsidR="002F2EA1" w:rsidRPr="009C1179" w:rsidRDefault="002F2EA1" w:rsidP="002F2EA1">
            <w:pPr>
              <w:pStyle w:val="TAC"/>
              <w:rPr>
                <w:color w:val="FF0000"/>
              </w:rPr>
            </w:pPr>
            <w:r w:rsidRPr="009C1179">
              <w:rPr>
                <w:rStyle w:val="CommentReference"/>
                <w:rFonts w:cs="Arial"/>
                <w:color w:val="FF0000"/>
                <w:szCs w:val="18"/>
              </w:rPr>
              <w:t>2</w:t>
            </w:r>
          </w:p>
        </w:tc>
        <w:tc>
          <w:tcPr>
            <w:tcW w:w="973" w:type="dxa"/>
            <w:vAlign w:val="center"/>
          </w:tcPr>
          <w:p w:rsidR="002F2EA1" w:rsidRPr="009C1179" w:rsidRDefault="002F2EA1" w:rsidP="002F2EA1">
            <w:pPr>
              <w:pStyle w:val="TAC"/>
              <w:rPr>
                <w:color w:val="FF0000"/>
              </w:rPr>
            </w:pPr>
            <w:r w:rsidRPr="009C1179">
              <w:rPr>
                <w:rStyle w:val="CommentReference"/>
                <w:rFonts w:cs="Arial"/>
                <w:color w:val="FF0000"/>
                <w:szCs w:val="18"/>
              </w:rPr>
              <w:t>1/2</w:t>
            </w:r>
          </w:p>
        </w:tc>
        <w:tc>
          <w:tcPr>
            <w:tcW w:w="3445" w:type="dxa"/>
            <w:vAlign w:val="center"/>
          </w:tcPr>
          <w:p w:rsidR="002F2EA1" w:rsidRPr="009C1179" w:rsidRDefault="00F95BF5" w:rsidP="002F2EA1">
            <w:pPr>
              <w:pStyle w:val="TAC"/>
              <w:rPr>
                <w:color w:val="FF0000"/>
              </w:rPr>
            </w:pPr>
            <w:r w:rsidRPr="009C1179">
              <w:rPr>
                <w:rStyle w:val="CommentReference"/>
                <w:rFonts w:cs="Arial"/>
                <w:color w:val="FF0000"/>
                <w:szCs w:val="18"/>
              </w:rPr>
              <w:t xml:space="preserve">{0, if </w:t>
            </w:r>
            <w:r w:rsidRPr="009C1179">
              <w:rPr>
                <w:noProof/>
                <w:color w:val="FF0000"/>
                <w:position w:val="-6"/>
                <w:lang w:val="en-US" w:eastAsia="zh-TW"/>
              </w:rPr>
              <w:drawing>
                <wp:inline distT="0" distB="0" distL="0" distR="0" wp14:anchorId="38BBA9FD" wp14:editId="12752DB3">
                  <wp:extent cx="90805" cy="181610"/>
                  <wp:effectExtent l="0" t="0" r="4445" b="889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sidRPr="009C1179">
              <w:rPr>
                <w:color w:val="FF0000"/>
              </w:rPr>
              <w:t xml:space="preserve"> is even}</w:t>
            </w:r>
            <w:r w:rsidRPr="009C1179">
              <w:rPr>
                <w:rStyle w:val="CommentReference"/>
                <w:rFonts w:cs="Arial"/>
                <w:color w:val="FF0000"/>
                <w:szCs w:val="18"/>
              </w:rPr>
              <w:t>, {</w:t>
            </w:r>
            <w:r w:rsidRPr="009C1179">
              <w:rPr>
                <w:color w:val="FF0000"/>
              </w:rPr>
              <w:t xml:space="preserve">7, if </w:t>
            </w:r>
            <w:r w:rsidRPr="009C1179">
              <w:rPr>
                <w:noProof/>
                <w:color w:val="FF0000"/>
                <w:position w:val="-6"/>
                <w:lang w:val="en-US" w:eastAsia="zh-TW"/>
              </w:rPr>
              <w:drawing>
                <wp:inline distT="0" distB="0" distL="0" distR="0" wp14:anchorId="3466D6E3" wp14:editId="684E9868">
                  <wp:extent cx="90805" cy="181610"/>
                  <wp:effectExtent l="0" t="0" r="4445"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sidRPr="009C1179">
              <w:rPr>
                <w:color w:val="FF0000"/>
              </w:rPr>
              <w:t xml:space="preserve"> is odd</w:t>
            </w:r>
            <w:r w:rsidRPr="009C1179">
              <w:rPr>
                <w:rStyle w:val="CommentReference"/>
                <w:rFonts w:cs="Arial"/>
                <w:color w:val="FF0000"/>
                <w:szCs w:val="18"/>
              </w:rPr>
              <w:t>}</w:t>
            </w:r>
          </w:p>
        </w:tc>
      </w:tr>
      <w:tr w:rsidR="002F2EA1" w:rsidRPr="00B916EC" w:rsidTr="002F2EA1">
        <w:trPr>
          <w:cantSplit/>
        </w:trPr>
        <w:tc>
          <w:tcPr>
            <w:tcW w:w="805" w:type="dxa"/>
            <w:tcBorders>
              <w:right w:val="double" w:sz="4" w:space="0" w:color="auto"/>
            </w:tcBorders>
            <w:shd w:val="clear" w:color="auto" w:fill="auto"/>
            <w:vAlign w:val="center"/>
          </w:tcPr>
          <w:p w:rsidR="002F2EA1" w:rsidRPr="009C1179" w:rsidRDefault="002F2EA1" w:rsidP="002F2EA1">
            <w:pPr>
              <w:pStyle w:val="TAC"/>
              <w:rPr>
                <w:color w:val="FF0000"/>
              </w:rPr>
            </w:pPr>
            <w:r w:rsidRPr="009C1179">
              <w:rPr>
                <w:color w:val="FF0000"/>
              </w:rPr>
              <w:t>12</w:t>
            </w:r>
          </w:p>
        </w:tc>
        <w:tc>
          <w:tcPr>
            <w:tcW w:w="885" w:type="dxa"/>
            <w:tcBorders>
              <w:left w:val="double" w:sz="4" w:space="0" w:color="auto"/>
            </w:tcBorders>
            <w:vAlign w:val="center"/>
          </w:tcPr>
          <w:p w:rsidR="002F2EA1" w:rsidRPr="009C1179" w:rsidRDefault="002F2EA1" w:rsidP="002F2EA1">
            <w:pPr>
              <w:pStyle w:val="TAC"/>
              <w:rPr>
                <w:color w:val="FF0000"/>
              </w:rPr>
            </w:pPr>
            <w:r w:rsidRPr="009C1179">
              <w:rPr>
                <w:rStyle w:val="CommentReference"/>
                <w:rFonts w:cs="Arial"/>
                <w:color w:val="FF0000"/>
                <w:szCs w:val="18"/>
              </w:rPr>
              <w:t>5</w:t>
            </w:r>
          </w:p>
        </w:tc>
        <w:tc>
          <w:tcPr>
            <w:tcW w:w="3325" w:type="dxa"/>
            <w:vAlign w:val="center"/>
          </w:tcPr>
          <w:p w:rsidR="002F2EA1" w:rsidRPr="009C1179" w:rsidRDefault="002F2EA1" w:rsidP="002F2EA1">
            <w:pPr>
              <w:pStyle w:val="TAC"/>
              <w:rPr>
                <w:color w:val="FF0000"/>
              </w:rPr>
            </w:pPr>
            <w:r w:rsidRPr="009C1179">
              <w:rPr>
                <w:rStyle w:val="CommentReference"/>
                <w:rFonts w:cs="Arial"/>
                <w:color w:val="FF0000"/>
                <w:szCs w:val="18"/>
              </w:rPr>
              <w:t>2</w:t>
            </w:r>
          </w:p>
        </w:tc>
        <w:tc>
          <w:tcPr>
            <w:tcW w:w="973" w:type="dxa"/>
            <w:vAlign w:val="center"/>
          </w:tcPr>
          <w:p w:rsidR="002F2EA1" w:rsidRPr="009C1179" w:rsidRDefault="002F2EA1" w:rsidP="002F2EA1">
            <w:pPr>
              <w:pStyle w:val="TAC"/>
              <w:rPr>
                <w:color w:val="FF0000"/>
              </w:rPr>
            </w:pPr>
            <w:r w:rsidRPr="009C1179">
              <w:rPr>
                <w:rStyle w:val="CommentReference"/>
                <w:rFonts w:cs="Arial"/>
                <w:color w:val="FF0000"/>
                <w:szCs w:val="18"/>
              </w:rPr>
              <w:t>1/2</w:t>
            </w:r>
          </w:p>
        </w:tc>
        <w:tc>
          <w:tcPr>
            <w:tcW w:w="3445" w:type="dxa"/>
            <w:vAlign w:val="center"/>
          </w:tcPr>
          <w:p w:rsidR="002F2EA1" w:rsidRPr="009C1179" w:rsidRDefault="00F95BF5" w:rsidP="002F2EA1">
            <w:pPr>
              <w:pStyle w:val="TAC"/>
              <w:rPr>
                <w:color w:val="FF0000"/>
              </w:rPr>
            </w:pPr>
            <w:r w:rsidRPr="009C1179">
              <w:rPr>
                <w:rStyle w:val="CommentReference"/>
                <w:rFonts w:cs="Arial"/>
                <w:color w:val="FF0000"/>
                <w:szCs w:val="18"/>
              </w:rPr>
              <w:t xml:space="preserve">{0, if </w:t>
            </w:r>
            <w:r w:rsidRPr="009C1179">
              <w:rPr>
                <w:noProof/>
                <w:color w:val="FF0000"/>
                <w:position w:val="-6"/>
                <w:lang w:val="en-US" w:eastAsia="zh-TW"/>
              </w:rPr>
              <w:drawing>
                <wp:inline distT="0" distB="0" distL="0" distR="0" wp14:anchorId="38BBA9FD" wp14:editId="12752DB3">
                  <wp:extent cx="90805" cy="181610"/>
                  <wp:effectExtent l="0" t="0" r="4445"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sidRPr="009C1179">
              <w:rPr>
                <w:color w:val="FF0000"/>
              </w:rPr>
              <w:t xml:space="preserve"> is even}</w:t>
            </w:r>
            <w:r w:rsidRPr="009C1179">
              <w:rPr>
                <w:rStyle w:val="CommentReference"/>
                <w:rFonts w:cs="Arial"/>
                <w:color w:val="FF0000"/>
                <w:szCs w:val="18"/>
              </w:rPr>
              <w:t>, {</w:t>
            </w:r>
            <w:r w:rsidRPr="009C1179">
              <w:rPr>
                <w:color w:val="FF0000"/>
              </w:rPr>
              <w:t xml:space="preserve">7, if </w:t>
            </w:r>
            <w:r w:rsidRPr="009C1179">
              <w:rPr>
                <w:noProof/>
                <w:color w:val="FF0000"/>
                <w:position w:val="-6"/>
                <w:lang w:val="en-US" w:eastAsia="zh-TW"/>
              </w:rPr>
              <w:drawing>
                <wp:inline distT="0" distB="0" distL="0" distR="0" wp14:anchorId="3466D6E3" wp14:editId="684E9868">
                  <wp:extent cx="90805" cy="181610"/>
                  <wp:effectExtent l="0" t="0" r="4445"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sidRPr="009C1179">
              <w:rPr>
                <w:color w:val="FF0000"/>
              </w:rPr>
              <w:t xml:space="preserve"> is odd</w:t>
            </w:r>
            <w:r w:rsidRPr="009C1179">
              <w:rPr>
                <w:rStyle w:val="CommentReference"/>
                <w:rFonts w:cs="Arial"/>
                <w:color w:val="FF0000"/>
                <w:szCs w:val="18"/>
              </w:rPr>
              <w:t>}</w:t>
            </w:r>
          </w:p>
        </w:tc>
      </w:tr>
      <w:tr w:rsidR="002F2EA1" w:rsidRPr="00B916EC" w:rsidTr="002F2EA1">
        <w:trPr>
          <w:cantSplit/>
        </w:trPr>
        <w:tc>
          <w:tcPr>
            <w:tcW w:w="805" w:type="dxa"/>
            <w:tcBorders>
              <w:right w:val="double" w:sz="4" w:space="0" w:color="auto"/>
            </w:tcBorders>
            <w:shd w:val="clear" w:color="auto" w:fill="auto"/>
            <w:vAlign w:val="center"/>
          </w:tcPr>
          <w:p w:rsidR="002F2EA1" w:rsidRPr="009C1179" w:rsidRDefault="002F2EA1" w:rsidP="002F2EA1">
            <w:pPr>
              <w:pStyle w:val="TAC"/>
              <w:rPr>
                <w:color w:val="FF0000"/>
              </w:rPr>
            </w:pPr>
            <w:r w:rsidRPr="009C1179">
              <w:rPr>
                <w:color w:val="FF0000"/>
              </w:rPr>
              <w:t>13</w:t>
            </w:r>
          </w:p>
        </w:tc>
        <w:tc>
          <w:tcPr>
            <w:tcW w:w="885" w:type="dxa"/>
            <w:tcBorders>
              <w:left w:val="double" w:sz="4" w:space="0" w:color="auto"/>
            </w:tcBorders>
            <w:vAlign w:val="center"/>
          </w:tcPr>
          <w:p w:rsidR="002F2EA1" w:rsidRPr="009C1179" w:rsidRDefault="002F2EA1" w:rsidP="002F2EA1">
            <w:pPr>
              <w:pStyle w:val="TAC"/>
              <w:rPr>
                <w:color w:val="FF0000"/>
              </w:rPr>
            </w:pPr>
            <w:r w:rsidRPr="009C1179">
              <w:rPr>
                <w:rStyle w:val="CommentReference"/>
                <w:rFonts w:cs="Arial"/>
                <w:color w:val="FF0000"/>
                <w:szCs w:val="18"/>
              </w:rPr>
              <w:t>7</w:t>
            </w:r>
          </w:p>
        </w:tc>
        <w:tc>
          <w:tcPr>
            <w:tcW w:w="3325" w:type="dxa"/>
            <w:vAlign w:val="center"/>
          </w:tcPr>
          <w:p w:rsidR="002F2EA1" w:rsidRPr="009C1179" w:rsidRDefault="002F2EA1" w:rsidP="002F2EA1">
            <w:pPr>
              <w:pStyle w:val="TAC"/>
              <w:rPr>
                <w:color w:val="FF0000"/>
              </w:rPr>
            </w:pPr>
            <w:r w:rsidRPr="009C1179">
              <w:rPr>
                <w:rStyle w:val="CommentReference"/>
                <w:rFonts w:cs="Arial"/>
                <w:color w:val="FF0000"/>
                <w:szCs w:val="18"/>
              </w:rPr>
              <w:t>2</w:t>
            </w:r>
          </w:p>
        </w:tc>
        <w:tc>
          <w:tcPr>
            <w:tcW w:w="973" w:type="dxa"/>
            <w:vAlign w:val="center"/>
          </w:tcPr>
          <w:p w:rsidR="002F2EA1" w:rsidRPr="009C1179" w:rsidRDefault="002F2EA1" w:rsidP="002F2EA1">
            <w:pPr>
              <w:pStyle w:val="TAC"/>
              <w:rPr>
                <w:color w:val="FF0000"/>
              </w:rPr>
            </w:pPr>
            <w:r w:rsidRPr="009C1179">
              <w:rPr>
                <w:rStyle w:val="CommentReference"/>
                <w:rFonts w:cs="Arial"/>
                <w:color w:val="FF0000"/>
                <w:szCs w:val="18"/>
              </w:rPr>
              <w:t>1/2</w:t>
            </w:r>
          </w:p>
        </w:tc>
        <w:tc>
          <w:tcPr>
            <w:tcW w:w="3445" w:type="dxa"/>
            <w:vAlign w:val="center"/>
          </w:tcPr>
          <w:p w:rsidR="002F2EA1" w:rsidRPr="009C1179" w:rsidRDefault="00F95BF5" w:rsidP="002F2EA1">
            <w:pPr>
              <w:pStyle w:val="TAC"/>
              <w:rPr>
                <w:color w:val="FF0000"/>
              </w:rPr>
            </w:pPr>
            <w:r w:rsidRPr="009C1179">
              <w:rPr>
                <w:rStyle w:val="CommentReference"/>
                <w:rFonts w:cs="Arial"/>
                <w:color w:val="FF0000"/>
                <w:szCs w:val="18"/>
              </w:rPr>
              <w:t xml:space="preserve">{0, if </w:t>
            </w:r>
            <w:r w:rsidRPr="009C1179">
              <w:rPr>
                <w:noProof/>
                <w:color w:val="FF0000"/>
                <w:position w:val="-6"/>
                <w:lang w:val="en-US" w:eastAsia="zh-TW"/>
              </w:rPr>
              <w:drawing>
                <wp:inline distT="0" distB="0" distL="0" distR="0" wp14:anchorId="38BBA9FD" wp14:editId="12752DB3">
                  <wp:extent cx="90805" cy="181610"/>
                  <wp:effectExtent l="0" t="0" r="4445" b="889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sidRPr="009C1179">
              <w:rPr>
                <w:color w:val="FF0000"/>
              </w:rPr>
              <w:t xml:space="preserve"> is even}</w:t>
            </w:r>
            <w:r w:rsidRPr="009C1179">
              <w:rPr>
                <w:rStyle w:val="CommentReference"/>
                <w:rFonts w:cs="Arial"/>
                <w:color w:val="FF0000"/>
                <w:szCs w:val="18"/>
              </w:rPr>
              <w:t>, {</w:t>
            </w:r>
            <w:r w:rsidRPr="009C1179">
              <w:rPr>
                <w:color w:val="FF0000"/>
              </w:rPr>
              <w:t xml:space="preserve">7, if </w:t>
            </w:r>
            <w:r w:rsidRPr="009C1179">
              <w:rPr>
                <w:noProof/>
                <w:color w:val="FF0000"/>
                <w:position w:val="-6"/>
                <w:lang w:val="en-US" w:eastAsia="zh-TW"/>
              </w:rPr>
              <w:drawing>
                <wp:inline distT="0" distB="0" distL="0" distR="0" wp14:anchorId="3466D6E3" wp14:editId="684E9868">
                  <wp:extent cx="90805" cy="181610"/>
                  <wp:effectExtent l="0" t="0" r="4445"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0805" cy="181610"/>
                          </a:xfrm>
                          <a:prstGeom prst="rect">
                            <a:avLst/>
                          </a:prstGeom>
                          <a:noFill/>
                          <a:ln>
                            <a:noFill/>
                          </a:ln>
                        </pic:spPr>
                      </pic:pic>
                    </a:graphicData>
                  </a:graphic>
                </wp:inline>
              </w:drawing>
            </w:r>
            <w:r w:rsidRPr="009C1179">
              <w:rPr>
                <w:color w:val="FF0000"/>
              </w:rPr>
              <w:t xml:space="preserve"> is odd</w:t>
            </w:r>
            <w:r w:rsidRPr="009C1179">
              <w:rPr>
                <w:rStyle w:val="CommentReference"/>
                <w:rFonts w:cs="Arial"/>
                <w:color w:val="FF0000"/>
                <w:szCs w:val="18"/>
              </w:rPr>
              <w:t>}</w:t>
            </w:r>
          </w:p>
        </w:tc>
      </w:tr>
      <w:tr w:rsidR="009C1179" w:rsidRPr="00B916EC" w:rsidTr="00E02620">
        <w:trPr>
          <w:cantSplit/>
        </w:trPr>
        <w:tc>
          <w:tcPr>
            <w:tcW w:w="805" w:type="dxa"/>
            <w:tcBorders>
              <w:right w:val="double" w:sz="4" w:space="0" w:color="auto"/>
            </w:tcBorders>
            <w:shd w:val="clear" w:color="auto" w:fill="auto"/>
            <w:vAlign w:val="center"/>
          </w:tcPr>
          <w:p w:rsidR="009C1179" w:rsidRPr="009C1179" w:rsidRDefault="009C1179" w:rsidP="002F2EA1">
            <w:pPr>
              <w:pStyle w:val="TAC"/>
              <w:rPr>
                <w:color w:val="FF0000"/>
              </w:rPr>
            </w:pPr>
            <w:r w:rsidRPr="009C1179">
              <w:rPr>
                <w:color w:val="FF0000"/>
              </w:rPr>
              <w:t>14</w:t>
            </w:r>
          </w:p>
        </w:tc>
        <w:tc>
          <w:tcPr>
            <w:tcW w:w="8628" w:type="dxa"/>
            <w:gridSpan w:val="4"/>
            <w:tcBorders>
              <w:left w:val="double" w:sz="4" w:space="0" w:color="auto"/>
            </w:tcBorders>
            <w:vAlign w:val="center"/>
          </w:tcPr>
          <w:p w:rsidR="009C1179" w:rsidRPr="009C1179" w:rsidRDefault="009C1179" w:rsidP="002F2EA1">
            <w:pPr>
              <w:pStyle w:val="TAC"/>
              <w:rPr>
                <w:rStyle w:val="CommentReference"/>
                <w:rFonts w:cs="Arial"/>
                <w:color w:val="FF0000"/>
                <w:szCs w:val="18"/>
              </w:rPr>
            </w:pPr>
            <w:r w:rsidRPr="009C1179">
              <w:rPr>
                <w:rStyle w:val="CommentReference"/>
                <w:rFonts w:cs="Arial"/>
                <w:color w:val="FF0000"/>
                <w:szCs w:val="18"/>
              </w:rPr>
              <w:t>Reserved</w:t>
            </w:r>
          </w:p>
        </w:tc>
      </w:tr>
      <w:tr w:rsidR="009C1179" w:rsidRPr="00B916EC" w:rsidTr="009B7451">
        <w:trPr>
          <w:cantSplit/>
        </w:trPr>
        <w:tc>
          <w:tcPr>
            <w:tcW w:w="805" w:type="dxa"/>
            <w:tcBorders>
              <w:right w:val="double" w:sz="4" w:space="0" w:color="auto"/>
            </w:tcBorders>
            <w:shd w:val="clear" w:color="auto" w:fill="auto"/>
            <w:vAlign w:val="center"/>
          </w:tcPr>
          <w:p w:rsidR="009C1179" w:rsidRPr="009C1179" w:rsidRDefault="009C1179" w:rsidP="002F2EA1">
            <w:pPr>
              <w:pStyle w:val="TAC"/>
              <w:rPr>
                <w:color w:val="FF0000"/>
              </w:rPr>
            </w:pPr>
            <w:r w:rsidRPr="009C1179">
              <w:rPr>
                <w:color w:val="FF0000"/>
              </w:rPr>
              <w:t>15</w:t>
            </w:r>
          </w:p>
        </w:tc>
        <w:tc>
          <w:tcPr>
            <w:tcW w:w="8628" w:type="dxa"/>
            <w:gridSpan w:val="4"/>
            <w:tcBorders>
              <w:left w:val="double" w:sz="4" w:space="0" w:color="auto"/>
            </w:tcBorders>
            <w:vAlign w:val="center"/>
          </w:tcPr>
          <w:p w:rsidR="009C1179" w:rsidRPr="009C1179" w:rsidRDefault="009C1179" w:rsidP="002F2EA1">
            <w:pPr>
              <w:pStyle w:val="TAC"/>
              <w:rPr>
                <w:rStyle w:val="CommentReference"/>
                <w:rFonts w:cs="Arial"/>
                <w:color w:val="FF0000"/>
                <w:szCs w:val="18"/>
              </w:rPr>
            </w:pPr>
            <w:r w:rsidRPr="009C1179">
              <w:rPr>
                <w:rStyle w:val="CommentReference"/>
                <w:rFonts w:cs="Arial"/>
                <w:color w:val="FF0000"/>
                <w:szCs w:val="18"/>
              </w:rPr>
              <w:t>Reserved</w:t>
            </w:r>
          </w:p>
        </w:tc>
      </w:tr>
      <w:tr w:rsidR="002F2EA1" w:rsidRPr="00B916EC" w:rsidTr="002F2EA1">
        <w:trPr>
          <w:cantSplit/>
        </w:trPr>
        <w:tc>
          <w:tcPr>
            <w:tcW w:w="805" w:type="dxa"/>
            <w:tcBorders>
              <w:right w:val="double" w:sz="4" w:space="0" w:color="auto"/>
            </w:tcBorders>
            <w:shd w:val="clear" w:color="auto" w:fill="auto"/>
            <w:vAlign w:val="center"/>
          </w:tcPr>
          <w:p w:rsidR="002F2EA1" w:rsidRPr="00127124" w:rsidRDefault="002F2EA1" w:rsidP="002F2EA1">
            <w:pPr>
              <w:pStyle w:val="TAC"/>
              <w:rPr>
                <w:strike/>
                <w:color w:val="FF0000"/>
              </w:rPr>
            </w:pPr>
            <w:r w:rsidRPr="00127124">
              <w:rPr>
                <w:strike/>
                <w:color w:val="FF0000"/>
              </w:rPr>
              <w:t>10</w:t>
            </w:r>
          </w:p>
        </w:tc>
        <w:tc>
          <w:tcPr>
            <w:tcW w:w="885" w:type="dxa"/>
            <w:tcBorders>
              <w:left w:val="double" w:sz="4" w:space="0" w:color="auto"/>
            </w:tcBorders>
            <w:vAlign w:val="center"/>
          </w:tcPr>
          <w:p w:rsidR="002F2EA1" w:rsidRPr="00127124" w:rsidRDefault="002F2EA1" w:rsidP="002F2EA1">
            <w:pPr>
              <w:pStyle w:val="TAC"/>
              <w:rPr>
                <w:strike/>
                <w:color w:val="FF0000"/>
              </w:rPr>
            </w:pPr>
            <w:r w:rsidRPr="00127124">
              <w:rPr>
                <w:rStyle w:val="CommentReference"/>
                <w:rFonts w:cs="Arial"/>
                <w:strike/>
                <w:color w:val="FF0000"/>
                <w:szCs w:val="18"/>
              </w:rPr>
              <w:t>0</w:t>
            </w:r>
          </w:p>
        </w:tc>
        <w:tc>
          <w:tcPr>
            <w:tcW w:w="3325"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c>
          <w:tcPr>
            <w:tcW w:w="973"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c>
          <w:tcPr>
            <w:tcW w:w="3445"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r>
      <w:tr w:rsidR="002F2EA1" w:rsidRPr="00B916EC" w:rsidTr="002F2EA1">
        <w:trPr>
          <w:cantSplit/>
        </w:trPr>
        <w:tc>
          <w:tcPr>
            <w:tcW w:w="805" w:type="dxa"/>
            <w:tcBorders>
              <w:right w:val="double" w:sz="4" w:space="0" w:color="auto"/>
            </w:tcBorders>
            <w:shd w:val="clear" w:color="auto" w:fill="auto"/>
            <w:vAlign w:val="center"/>
          </w:tcPr>
          <w:p w:rsidR="002F2EA1" w:rsidRPr="00127124" w:rsidRDefault="002F2EA1" w:rsidP="002F2EA1">
            <w:pPr>
              <w:pStyle w:val="TAC"/>
              <w:rPr>
                <w:strike/>
                <w:color w:val="FF0000"/>
              </w:rPr>
            </w:pPr>
            <w:r w:rsidRPr="00127124">
              <w:rPr>
                <w:strike/>
                <w:color w:val="FF0000"/>
              </w:rPr>
              <w:t>11</w:t>
            </w:r>
          </w:p>
        </w:tc>
        <w:tc>
          <w:tcPr>
            <w:tcW w:w="885" w:type="dxa"/>
            <w:tcBorders>
              <w:left w:val="double" w:sz="4" w:space="0" w:color="auto"/>
            </w:tcBorders>
            <w:vAlign w:val="center"/>
          </w:tcPr>
          <w:p w:rsidR="002F2EA1" w:rsidRPr="00127124" w:rsidRDefault="002F2EA1" w:rsidP="002F2EA1">
            <w:pPr>
              <w:pStyle w:val="TAC"/>
              <w:rPr>
                <w:strike/>
                <w:color w:val="FF0000"/>
              </w:rPr>
            </w:pPr>
            <w:r w:rsidRPr="00127124">
              <w:rPr>
                <w:rStyle w:val="CommentReference"/>
                <w:rFonts w:cs="Arial"/>
                <w:strike/>
                <w:color w:val="FF0000"/>
                <w:szCs w:val="18"/>
              </w:rPr>
              <w:t>0</w:t>
            </w:r>
          </w:p>
        </w:tc>
        <w:tc>
          <w:tcPr>
            <w:tcW w:w="3325"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c>
          <w:tcPr>
            <w:tcW w:w="973"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c>
          <w:tcPr>
            <w:tcW w:w="3445"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2</w:t>
            </w:r>
          </w:p>
        </w:tc>
      </w:tr>
      <w:tr w:rsidR="002F2EA1" w:rsidRPr="00B916EC" w:rsidTr="002F2EA1">
        <w:trPr>
          <w:cantSplit/>
        </w:trPr>
        <w:tc>
          <w:tcPr>
            <w:tcW w:w="805" w:type="dxa"/>
            <w:tcBorders>
              <w:right w:val="double" w:sz="4" w:space="0" w:color="auto"/>
            </w:tcBorders>
            <w:shd w:val="clear" w:color="auto" w:fill="auto"/>
            <w:vAlign w:val="center"/>
          </w:tcPr>
          <w:p w:rsidR="002F2EA1" w:rsidRPr="00127124" w:rsidRDefault="002F2EA1" w:rsidP="002F2EA1">
            <w:pPr>
              <w:pStyle w:val="TAC"/>
              <w:rPr>
                <w:strike/>
                <w:color w:val="FF0000"/>
              </w:rPr>
            </w:pPr>
            <w:r w:rsidRPr="00127124">
              <w:rPr>
                <w:strike/>
                <w:color w:val="FF0000"/>
              </w:rPr>
              <w:t>12</w:t>
            </w:r>
          </w:p>
        </w:tc>
        <w:tc>
          <w:tcPr>
            <w:tcW w:w="885" w:type="dxa"/>
            <w:tcBorders>
              <w:left w:val="double" w:sz="4" w:space="0" w:color="auto"/>
            </w:tcBorders>
            <w:vAlign w:val="center"/>
          </w:tcPr>
          <w:p w:rsidR="002F2EA1" w:rsidRPr="00127124" w:rsidRDefault="002F2EA1" w:rsidP="002F2EA1">
            <w:pPr>
              <w:pStyle w:val="TAC"/>
              <w:rPr>
                <w:strike/>
                <w:color w:val="FF0000"/>
              </w:rPr>
            </w:pPr>
            <w:r w:rsidRPr="00127124">
              <w:rPr>
                <w:rStyle w:val="CommentReference"/>
                <w:rFonts w:cs="Arial"/>
                <w:strike/>
                <w:color w:val="FF0000"/>
                <w:szCs w:val="18"/>
              </w:rPr>
              <w:t>2</w:t>
            </w:r>
          </w:p>
        </w:tc>
        <w:tc>
          <w:tcPr>
            <w:tcW w:w="3325"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c>
          <w:tcPr>
            <w:tcW w:w="973"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c>
          <w:tcPr>
            <w:tcW w:w="3445"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r>
      <w:tr w:rsidR="002F2EA1" w:rsidRPr="00B916EC" w:rsidTr="002F2EA1">
        <w:trPr>
          <w:cantSplit/>
        </w:trPr>
        <w:tc>
          <w:tcPr>
            <w:tcW w:w="805" w:type="dxa"/>
            <w:tcBorders>
              <w:right w:val="double" w:sz="4" w:space="0" w:color="auto"/>
            </w:tcBorders>
            <w:shd w:val="clear" w:color="auto" w:fill="auto"/>
            <w:vAlign w:val="center"/>
          </w:tcPr>
          <w:p w:rsidR="002F2EA1" w:rsidRPr="00127124" w:rsidRDefault="002F2EA1" w:rsidP="002F2EA1">
            <w:pPr>
              <w:pStyle w:val="TAC"/>
              <w:rPr>
                <w:strike/>
                <w:color w:val="FF0000"/>
              </w:rPr>
            </w:pPr>
            <w:r w:rsidRPr="00127124">
              <w:rPr>
                <w:strike/>
                <w:color w:val="FF0000"/>
              </w:rPr>
              <w:t>13</w:t>
            </w:r>
          </w:p>
        </w:tc>
        <w:tc>
          <w:tcPr>
            <w:tcW w:w="885" w:type="dxa"/>
            <w:tcBorders>
              <w:left w:val="double" w:sz="4" w:space="0" w:color="auto"/>
            </w:tcBorders>
            <w:vAlign w:val="center"/>
          </w:tcPr>
          <w:p w:rsidR="002F2EA1" w:rsidRPr="00127124" w:rsidRDefault="002F2EA1" w:rsidP="002F2EA1">
            <w:pPr>
              <w:pStyle w:val="TAC"/>
              <w:rPr>
                <w:strike/>
                <w:color w:val="FF0000"/>
              </w:rPr>
            </w:pPr>
            <w:r w:rsidRPr="00127124">
              <w:rPr>
                <w:rStyle w:val="CommentReference"/>
                <w:rFonts w:cs="Arial"/>
                <w:strike/>
                <w:color w:val="FF0000"/>
                <w:szCs w:val="18"/>
              </w:rPr>
              <w:t>2</w:t>
            </w:r>
          </w:p>
        </w:tc>
        <w:tc>
          <w:tcPr>
            <w:tcW w:w="3325"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c>
          <w:tcPr>
            <w:tcW w:w="973"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c>
          <w:tcPr>
            <w:tcW w:w="3445"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2</w:t>
            </w:r>
          </w:p>
        </w:tc>
      </w:tr>
      <w:tr w:rsidR="002F2EA1" w:rsidRPr="00B916EC" w:rsidTr="002F2EA1">
        <w:trPr>
          <w:cantSplit/>
        </w:trPr>
        <w:tc>
          <w:tcPr>
            <w:tcW w:w="805" w:type="dxa"/>
            <w:tcBorders>
              <w:right w:val="double" w:sz="4" w:space="0" w:color="auto"/>
            </w:tcBorders>
            <w:shd w:val="clear" w:color="auto" w:fill="auto"/>
            <w:vAlign w:val="center"/>
          </w:tcPr>
          <w:p w:rsidR="002F2EA1" w:rsidRPr="00127124" w:rsidRDefault="002F2EA1" w:rsidP="002F2EA1">
            <w:pPr>
              <w:pStyle w:val="TAC"/>
              <w:rPr>
                <w:strike/>
                <w:color w:val="FF0000"/>
              </w:rPr>
            </w:pPr>
            <w:r w:rsidRPr="00127124">
              <w:rPr>
                <w:strike/>
                <w:color w:val="FF0000"/>
              </w:rPr>
              <w:t>14</w:t>
            </w:r>
          </w:p>
        </w:tc>
        <w:tc>
          <w:tcPr>
            <w:tcW w:w="885" w:type="dxa"/>
            <w:tcBorders>
              <w:left w:val="double" w:sz="4" w:space="0" w:color="auto"/>
            </w:tcBorders>
            <w:vAlign w:val="center"/>
          </w:tcPr>
          <w:p w:rsidR="002F2EA1" w:rsidRPr="00127124" w:rsidRDefault="002F2EA1" w:rsidP="002F2EA1">
            <w:pPr>
              <w:pStyle w:val="TAC"/>
              <w:rPr>
                <w:strike/>
                <w:color w:val="FF0000"/>
              </w:rPr>
            </w:pPr>
            <w:r w:rsidRPr="00127124">
              <w:rPr>
                <w:rStyle w:val="CommentReference"/>
                <w:rFonts w:cs="Arial"/>
                <w:strike/>
                <w:color w:val="FF0000"/>
                <w:szCs w:val="18"/>
              </w:rPr>
              <w:t>5</w:t>
            </w:r>
          </w:p>
        </w:tc>
        <w:tc>
          <w:tcPr>
            <w:tcW w:w="3325"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c>
          <w:tcPr>
            <w:tcW w:w="973"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c>
          <w:tcPr>
            <w:tcW w:w="3445" w:type="dxa"/>
            <w:vAlign w:val="center"/>
          </w:tcPr>
          <w:p w:rsidR="002F2EA1" w:rsidRPr="00127124" w:rsidRDefault="002F2EA1" w:rsidP="002F2EA1">
            <w:pPr>
              <w:pStyle w:val="TAC"/>
              <w:rPr>
                <w:strike/>
                <w:color w:val="FF0000"/>
              </w:rPr>
            </w:pPr>
            <w:r w:rsidRPr="00127124">
              <w:rPr>
                <w:rStyle w:val="CommentReference"/>
                <w:rFonts w:cs="Arial"/>
                <w:strike/>
                <w:color w:val="FF0000"/>
                <w:szCs w:val="18"/>
              </w:rPr>
              <w:t>1</w:t>
            </w:r>
          </w:p>
        </w:tc>
      </w:tr>
      <w:tr w:rsidR="002F2EA1" w:rsidRPr="00B916EC" w:rsidTr="002F2EA1">
        <w:trPr>
          <w:cantSplit/>
        </w:trPr>
        <w:tc>
          <w:tcPr>
            <w:tcW w:w="805" w:type="dxa"/>
            <w:tcBorders>
              <w:right w:val="double" w:sz="4" w:space="0" w:color="auto"/>
            </w:tcBorders>
            <w:shd w:val="clear" w:color="auto" w:fill="auto"/>
            <w:vAlign w:val="center"/>
          </w:tcPr>
          <w:p w:rsidR="002F2EA1" w:rsidRPr="00127124" w:rsidRDefault="002F2EA1" w:rsidP="002F2EA1">
            <w:pPr>
              <w:pStyle w:val="TAC"/>
              <w:rPr>
                <w:strike/>
                <w:color w:val="FF0000"/>
              </w:rPr>
            </w:pPr>
            <w:r w:rsidRPr="00127124">
              <w:rPr>
                <w:rFonts w:cs="Arial"/>
                <w:strike/>
                <w:color w:val="FF0000"/>
                <w:kern w:val="24"/>
                <w:szCs w:val="18"/>
              </w:rPr>
              <w:t>15</w:t>
            </w:r>
          </w:p>
        </w:tc>
        <w:tc>
          <w:tcPr>
            <w:tcW w:w="885" w:type="dxa"/>
            <w:tcBorders>
              <w:left w:val="double" w:sz="4" w:space="0" w:color="auto"/>
            </w:tcBorders>
            <w:vAlign w:val="center"/>
          </w:tcPr>
          <w:p w:rsidR="002F2EA1" w:rsidRPr="00127124" w:rsidRDefault="002F2EA1" w:rsidP="002F2EA1">
            <w:pPr>
              <w:pStyle w:val="TAC"/>
              <w:rPr>
                <w:rFonts w:cs="Arial"/>
                <w:strike/>
                <w:color w:val="FF0000"/>
                <w:kern w:val="24"/>
                <w:szCs w:val="18"/>
              </w:rPr>
            </w:pPr>
            <w:r w:rsidRPr="00127124">
              <w:rPr>
                <w:rStyle w:val="CommentReference"/>
                <w:rFonts w:cs="Arial"/>
                <w:strike/>
                <w:color w:val="FF0000"/>
                <w:szCs w:val="18"/>
              </w:rPr>
              <w:t>5</w:t>
            </w:r>
          </w:p>
        </w:tc>
        <w:tc>
          <w:tcPr>
            <w:tcW w:w="3325" w:type="dxa"/>
            <w:vAlign w:val="center"/>
          </w:tcPr>
          <w:p w:rsidR="002F2EA1" w:rsidRPr="00127124" w:rsidRDefault="002F2EA1" w:rsidP="002F2EA1">
            <w:pPr>
              <w:pStyle w:val="TAC"/>
              <w:rPr>
                <w:rFonts w:cs="Arial"/>
                <w:strike/>
                <w:color w:val="FF0000"/>
                <w:kern w:val="24"/>
                <w:szCs w:val="18"/>
              </w:rPr>
            </w:pPr>
            <w:r w:rsidRPr="00127124">
              <w:rPr>
                <w:rStyle w:val="CommentReference"/>
                <w:rFonts w:cs="Arial"/>
                <w:strike/>
                <w:color w:val="FF0000"/>
                <w:szCs w:val="18"/>
              </w:rPr>
              <w:t>1</w:t>
            </w:r>
          </w:p>
        </w:tc>
        <w:tc>
          <w:tcPr>
            <w:tcW w:w="973" w:type="dxa"/>
            <w:vAlign w:val="center"/>
          </w:tcPr>
          <w:p w:rsidR="002F2EA1" w:rsidRPr="00127124" w:rsidRDefault="002F2EA1" w:rsidP="002F2EA1">
            <w:pPr>
              <w:pStyle w:val="TAC"/>
              <w:rPr>
                <w:rFonts w:cs="Arial"/>
                <w:strike/>
                <w:color w:val="FF0000"/>
                <w:kern w:val="24"/>
                <w:szCs w:val="18"/>
              </w:rPr>
            </w:pPr>
            <w:r w:rsidRPr="00127124">
              <w:rPr>
                <w:rStyle w:val="CommentReference"/>
                <w:rFonts w:cs="Arial"/>
                <w:strike/>
                <w:color w:val="FF0000"/>
                <w:szCs w:val="18"/>
              </w:rPr>
              <w:t>1</w:t>
            </w:r>
          </w:p>
        </w:tc>
        <w:tc>
          <w:tcPr>
            <w:tcW w:w="3445" w:type="dxa"/>
            <w:vAlign w:val="center"/>
          </w:tcPr>
          <w:p w:rsidR="002F2EA1" w:rsidRPr="00127124" w:rsidRDefault="002F2EA1" w:rsidP="002F2EA1">
            <w:pPr>
              <w:pStyle w:val="TAC"/>
              <w:rPr>
                <w:rFonts w:cs="Arial"/>
                <w:strike/>
                <w:color w:val="FF0000"/>
                <w:kern w:val="24"/>
                <w:szCs w:val="18"/>
              </w:rPr>
            </w:pPr>
            <w:r w:rsidRPr="00127124">
              <w:rPr>
                <w:rStyle w:val="CommentReference"/>
                <w:rFonts w:cs="Arial"/>
                <w:strike/>
                <w:color w:val="FF0000"/>
                <w:szCs w:val="18"/>
              </w:rPr>
              <w:t>2</w:t>
            </w:r>
          </w:p>
        </w:tc>
      </w:tr>
    </w:tbl>
    <w:p w:rsidR="005A148C" w:rsidRDefault="005A148C" w:rsidP="005A148C"/>
    <w:p w:rsidR="00B8604E" w:rsidRDefault="0064233E" w:rsidP="0064233E">
      <w:pPr>
        <w:pStyle w:val="Caption"/>
      </w:pPr>
      <w:bookmarkStart w:id="9" w:name="_Ref21420210"/>
      <w:r>
        <w:t xml:space="preserve">Proposal </w:t>
      </w:r>
      <w:r>
        <w:fldChar w:fldCharType="begin"/>
      </w:r>
      <w:r>
        <w:instrText xml:space="preserve"> SEQ Proposal \* ARABIC </w:instrText>
      </w:r>
      <w:r>
        <w:fldChar w:fldCharType="separate"/>
      </w:r>
      <w:r w:rsidR="00E17D28">
        <w:rPr>
          <w:noProof/>
        </w:rPr>
        <w:t>5</w:t>
      </w:r>
      <w:r>
        <w:fldChar w:fldCharType="end"/>
      </w:r>
      <w:r>
        <w:t>: U</w:t>
      </w:r>
      <w:r>
        <w:t>se Table 13-11 in TS38.213</w:t>
      </w:r>
      <w:r>
        <w:t xml:space="preserve"> </w:t>
      </w:r>
      <w:r>
        <w:t>as a starting point</w:t>
      </w:r>
      <w:r>
        <w:t xml:space="preserve"> for Type0-PDCCH search space configuration for NR-U.</w:t>
      </w:r>
      <w:bookmarkEnd w:id="9"/>
    </w:p>
    <w:p w:rsidR="0064233E" w:rsidRDefault="00D220C2" w:rsidP="00D220C2">
      <w:pPr>
        <w:pStyle w:val="Caption"/>
      </w:pPr>
      <w:bookmarkStart w:id="10" w:name="_Ref21420219"/>
      <w:r>
        <w:t xml:space="preserve">Proposal </w:t>
      </w:r>
      <w:r>
        <w:fldChar w:fldCharType="begin"/>
      </w:r>
      <w:r>
        <w:instrText xml:space="preserve"> SEQ Proposal \* ARABIC </w:instrText>
      </w:r>
      <w:r>
        <w:fldChar w:fldCharType="separate"/>
      </w:r>
      <w:r w:rsidR="00E17D28">
        <w:rPr>
          <w:noProof/>
        </w:rPr>
        <w:t>6</w:t>
      </w:r>
      <w:r>
        <w:fldChar w:fldCharType="end"/>
      </w:r>
      <w:r>
        <w:t xml:space="preserve">: Support </w:t>
      </w:r>
      <w:r>
        <w:fldChar w:fldCharType="begin"/>
      </w:r>
      <w:r>
        <w:instrText xml:space="preserve"> REF _Ref21420150 \h </w:instrText>
      </w:r>
      <w:r>
        <w:fldChar w:fldCharType="separate"/>
      </w:r>
      <w:r w:rsidR="00E17D28">
        <w:t xml:space="preserve">Table </w:t>
      </w:r>
      <w:r w:rsidR="00E17D28">
        <w:rPr>
          <w:noProof/>
        </w:rPr>
        <w:t>1</w:t>
      </w:r>
      <w:r>
        <w:fldChar w:fldCharType="end"/>
      </w:r>
      <w:r>
        <w:t xml:space="preserve"> for space configuration for Type0-PDCCH in NR-U.</w:t>
      </w:r>
      <w:bookmarkEnd w:id="10"/>
    </w:p>
    <w:p w:rsidR="0013114C" w:rsidRPr="0013114C" w:rsidRDefault="0013114C" w:rsidP="0013114C"/>
    <w:p w:rsidR="00A7073C" w:rsidRDefault="00A7073C" w:rsidP="00A7073C">
      <w:pPr>
        <w:pStyle w:val="Heading2"/>
      </w:pPr>
      <w:r>
        <w:t>RMSI transmission</w:t>
      </w:r>
    </w:p>
    <w:tbl>
      <w:tblPr>
        <w:tblStyle w:val="TableGrid"/>
        <w:tblW w:w="0" w:type="auto"/>
        <w:tblLook w:val="04A0" w:firstRow="1" w:lastRow="0" w:firstColumn="1" w:lastColumn="0" w:noHBand="0" w:noVBand="1"/>
      </w:tblPr>
      <w:tblGrid>
        <w:gridCol w:w="9631"/>
      </w:tblGrid>
      <w:tr w:rsidR="00064674" w:rsidRPr="00156FFA" w:rsidTr="00064674">
        <w:tc>
          <w:tcPr>
            <w:tcW w:w="9631" w:type="dxa"/>
          </w:tcPr>
          <w:p w:rsidR="00064674" w:rsidRPr="00156FFA" w:rsidRDefault="00064674" w:rsidP="00064674">
            <w:pPr>
              <w:rPr>
                <w:rFonts w:ascii="Times New Roman" w:hAnsi="Times New Roman"/>
                <w:lang w:eastAsia="zh-CN"/>
              </w:rPr>
            </w:pPr>
            <w:r w:rsidRPr="00156FFA">
              <w:rPr>
                <w:rFonts w:ascii="Times New Roman" w:hAnsi="Times New Roman"/>
                <w:highlight w:val="green"/>
                <w:lang w:eastAsia="zh-CN"/>
              </w:rPr>
              <w:t>Agreement:</w:t>
            </w:r>
            <w:r w:rsidRPr="00156FFA">
              <w:rPr>
                <w:rFonts w:ascii="Times New Roman" w:hAnsi="Times New Roman"/>
                <w:lang w:eastAsia="zh-CN"/>
              </w:rPr>
              <w:t xml:space="preserve"> (RAN4 #92 meeting, 1908)</w:t>
            </w:r>
          </w:p>
          <w:p w:rsidR="00064674" w:rsidRPr="00156FFA" w:rsidRDefault="00064674" w:rsidP="00064674">
            <w:pPr>
              <w:rPr>
                <w:rFonts w:ascii="Times New Roman" w:hAnsi="Times New Roman"/>
                <w:lang w:eastAsia="zh-CN"/>
              </w:rPr>
            </w:pPr>
            <w:r w:rsidRPr="00156FFA">
              <w:rPr>
                <w:rFonts w:ascii="Times New Roman" w:hAnsi="Times New Roman"/>
                <w:lang w:eastAsia="zh-CN"/>
              </w:rPr>
              <w:lastRenderedPageBreak/>
              <w:t xml:space="preserve">RAN4 agreed to place the SSB close to the </w:t>
            </w:r>
            <w:r w:rsidRPr="00156FFA">
              <w:rPr>
                <w:rFonts w:ascii="Times New Roman" w:hAnsi="Times New Roman"/>
                <w:highlight w:val="green"/>
                <w:lang w:eastAsia="zh-CN"/>
              </w:rPr>
              <w:t>edge</w:t>
            </w:r>
            <w:r w:rsidRPr="00156FFA">
              <w:rPr>
                <w:rFonts w:ascii="Times New Roman" w:hAnsi="Times New Roman"/>
                <w:lang w:eastAsia="zh-CN"/>
              </w:rPr>
              <w:t xml:space="preserve"> of sub-bands </w:t>
            </w:r>
          </w:p>
          <w:p w:rsidR="00064674" w:rsidRPr="00156FFA" w:rsidRDefault="00064674" w:rsidP="00064674">
            <w:pPr>
              <w:rPr>
                <w:rFonts w:ascii="Times New Roman" w:hAnsi="Times New Roman"/>
                <w:lang w:eastAsia="zh-CN"/>
              </w:rPr>
            </w:pPr>
            <w:r w:rsidRPr="00156FFA">
              <w:rPr>
                <w:rFonts w:ascii="Times New Roman" w:hAnsi="Times New Roman"/>
                <w:lang w:eastAsia="zh-CN"/>
              </w:rPr>
              <w:t>RAN4 will continue discuss the detailed values of offset to the edge of sub-bands considering the adjacent channel interference</w:t>
            </w:r>
          </w:p>
          <w:p w:rsidR="00064674" w:rsidRPr="00156FFA" w:rsidRDefault="00064674" w:rsidP="00192765">
            <w:pPr>
              <w:rPr>
                <w:rFonts w:ascii="Times New Roman" w:hAnsi="Times New Roman"/>
                <w:lang w:eastAsia="zh-CN"/>
              </w:rPr>
            </w:pPr>
            <w:r w:rsidRPr="00156FFA">
              <w:rPr>
                <w:rFonts w:ascii="Times New Roman" w:hAnsi="Times New Roman"/>
                <w:lang w:eastAsia="zh-CN"/>
              </w:rPr>
              <w:t xml:space="preserve">RAN4 agreed to introduce </w:t>
            </w:r>
            <w:r w:rsidRPr="00156FFA">
              <w:rPr>
                <w:rFonts w:ascii="Times New Roman" w:hAnsi="Times New Roman"/>
                <w:highlight w:val="green"/>
                <w:lang w:eastAsia="zh-CN"/>
              </w:rPr>
              <w:t>single default sync raster</w:t>
            </w:r>
            <w:r w:rsidRPr="00156FFA">
              <w:rPr>
                <w:rFonts w:ascii="Times New Roman" w:hAnsi="Times New Roman"/>
                <w:lang w:eastAsia="zh-CN"/>
              </w:rPr>
              <w:t xml:space="preserve"> for each sub-band </w:t>
            </w:r>
          </w:p>
        </w:tc>
      </w:tr>
    </w:tbl>
    <w:p w:rsidR="00064674" w:rsidRDefault="00064674" w:rsidP="00192765">
      <w:pPr>
        <w:rPr>
          <w:lang w:val="en-GB"/>
        </w:rPr>
      </w:pPr>
    </w:p>
    <w:p w:rsidR="00457BFF" w:rsidRDefault="006739F8" w:rsidP="00192765">
      <w:pPr>
        <w:rPr>
          <w:lang w:val="en-GB"/>
        </w:rPr>
      </w:pPr>
      <w:r>
        <w:rPr>
          <w:lang w:val="en-GB"/>
        </w:rPr>
        <w:t xml:space="preserve">At the previous RAN4 meeting, it was agreed that sync raster would be placed in the edge of a sub-band for NR-U. </w:t>
      </w:r>
      <w:r w:rsidR="00842B97">
        <w:rPr>
          <w:lang w:val="en-GB"/>
        </w:rPr>
        <w:t xml:space="preserve">In addition, based on the following conclusion made at RAN1 #96 meeting, the DMRS of a PDSCH should not be colliding with REs that are not available for the PDSCH. </w:t>
      </w:r>
    </w:p>
    <w:p w:rsidR="00842B97" w:rsidRPr="00842B97" w:rsidRDefault="00842B97" w:rsidP="00842B97">
      <w:pPr>
        <w:rPr>
          <w:b/>
          <w:i/>
          <w:u w:val="single"/>
        </w:rPr>
      </w:pPr>
      <w:r w:rsidRPr="00842B97">
        <w:rPr>
          <w:b/>
          <w:i/>
          <w:u w:val="single"/>
        </w:rPr>
        <w:t>Conclusion:</w:t>
      </w:r>
    </w:p>
    <w:p w:rsidR="00842B97" w:rsidRPr="00842B97" w:rsidRDefault="00842B97" w:rsidP="00842B97">
      <w:pPr>
        <w:rPr>
          <w:i/>
          <w:lang w:val="en-GB"/>
        </w:rPr>
      </w:pPr>
      <w:r w:rsidRPr="00842B97">
        <w:rPr>
          <w:i/>
          <w:iCs/>
        </w:rPr>
        <w:t xml:space="preserve">It is commonly understood that a gNB </w:t>
      </w:r>
      <w:r w:rsidRPr="00842B97">
        <w:rPr>
          <w:i/>
          <w:iCs/>
          <w:u w:val="single"/>
        </w:rPr>
        <w:t>shall NOT</w:t>
      </w:r>
      <w:r w:rsidRPr="00842B97">
        <w:rPr>
          <w:i/>
          <w:iCs/>
        </w:rPr>
        <w:t xml:space="preserve"> configure/schedule a PDSCH where its DMRS would be colliding, even partially, with any RE(s) not available for PDSCH.</w:t>
      </w:r>
    </w:p>
    <w:p w:rsidR="00077EBA" w:rsidRDefault="009473F3" w:rsidP="00A7073C">
      <w:pPr>
        <w:rPr>
          <w:lang w:val="en-GB"/>
        </w:rPr>
      </w:pPr>
      <w:r>
        <w:rPr>
          <w:lang w:val="en-GB"/>
        </w:rPr>
        <w:t xml:space="preserve">Based on RAN4’s agreement, we do not see a strong reason to support rate matching RSMI around SSBs. Hence, we have the following proposal. </w:t>
      </w:r>
      <w:r w:rsidR="00077EBA">
        <w:rPr>
          <w:lang w:val="en-GB"/>
        </w:rPr>
        <w:t xml:space="preserve">  </w:t>
      </w:r>
    </w:p>
    <w:p w:rsidR="00077EBA" w:rsidRPr="00E81596" w:rsidRDefault="00077EBA" w:rsidP="00E81596">
      <w:pPr>
        <w:pStyle w:val="Caption"/>
      </w:pPr>
      <w:bookmarkStart w:id="11" w:name="_Ref16928742"/>
      <w:r>
        <w:t xml:space="preserve">Proposal </w:t>
      </w:r>
      <w:r w:rsidR="00BF6B20">
        <w:fldChar w:fldCharType="begin"/>
      </w:r>
      <w:r w:rsidR="00BF6B20">
        <w:instrText xml:space="preserve"> SEQ Proposal \* ARABIC </w:instrText>
      </w:r>
      <w:r w:rsidR="00BF6B20">
        <w:fldChar w:fldCharType="separate"/>
      </w:r>
      <w:r w:rsidR="00E17D28">
        <w:rPr>
          <w:noProof/>
        </w:rPr>
        <w:t>7</w:t>
      </w:r>
      <w:r w:rsidR="00BF6B20">
        <w:rPr>
          <w:noProof/>
        </w:rPr>
        <w:fldChar w:fldCharType="end"/>
      </w:r>
      <w:r>
        <w:t xml:space="preserve">: </w:t>
      </w:r>
      <w:r w:rsidR="00156FFA">
        <w:t>NR-U does not support r</w:t>
      </w:r>
      <w:r>
        <w:t>ate matching RMSI around SSBs</w:t>
      </w:r>
      <w:r w:rsidR="00156FFA">
        <w:t>.</w:t>
      </w:r>
      <w:bookmarkEnd w:id="11"/>
      <w:r>
        <w:t xml:space="preserve"> </w:t>
      </w:r>
    </w:p>
    <w:p w:rsidR="000E2456" w:rsidRDefault="000E2456" w:rsidP="000E2456">
      <w:pPr>
        <w:pStyle w:val="Heading2"/>
      </w:pPr>
      <w:bookmarkStart w:id="12" w:name="_GoBack"/>
      <w:bookmarkEnd w:id="12"/>
      <w:r w:rsidRPr="000E2456">
        <w:t>DL transmission indicator in NR-U DRS for UE power saving</w:t>
      </w:r>
    </w:p>
    <w:p w:rsidR="00DF11E6" w:rsidRDefault="00DF11E6" w:rsidP="00391C3B">
      <w:pPr>
        <w:jc w:val="both"/>
      </w:pPr>
      <w:r>
        <w:t xml:space="preserve">Several proposals for initial signal design have been identified in </w:t>
      </w:r>
      <w:r>
        <w:fldChar w:fldCharType="begin"/>
      </w:r>
      <w:r>
        <w:instrText xml:space="preserve"> REF _Ref534984474 \n \h </w:instrText>
      </w:r>
      <w:r w:rsidR="00391C3B">
        <w:instrText xml:space="preserve"> \* MERGEFORMAT </w:instrText>
      </w:r>
      <w:r>
        <w:fldChar w:fldCharType="separate"/>
      </w:r>
      <w:r w:rsidR="00E17D28">
        <w:t>[1]</w:t>
      </w:r>
      <w:r>
        <w:fldChar w:fldCharType="end"/>
      </w:r>
      <w:r>
        <w:t xml:space="preserve"> that would allow an UE to detect the starting point of a DL transmission. This feature certainly reduces the UE receiver complexity. However, in terms of UE power saving, it still needs an always on RF chain for the detection of initial signal or preamble.</w:t>
      </w:r>
    </w:p>
    <w:p w:rsidR="00DF11E6" w:rsidRPr="00A32856" w:rsidRDefault="00DF11E6" w:rsidP="00391C3B">
      <w:pPr>
        <w:jc w:val="both"/>
      </w:pPr>
      <w:r>
        <w:t xml:space="preserve">For NR operation in the licensed band, an UE typically spends more than 50% of time in sleep modes (including deep sleep, light sleep, and micro sleep mode), depending on traffic types </w:t>
      </w:r>
      <w:r>
        <w:fldChar w:fldCharType="begin"/>
      </w:r>
      <w:r>
        <w:instrText xml:space="preserve"> REF _Ref528932384 \n \h </w:instrText>
      </w:r>
      <w:r w:rsidR="00391C3B">
        <w:instrText xml:space="preserve"> \* MERGEFORMAT </w:instrText>
      </w:r>
      <w:r>
        <w:fldChar w:fldCharType="separate"/>
      </w:r>
      <w:r w:rsidR="00E17D28">
        <w:t>[2]</w:t>
      </w:r>
      <w:r>
        <w:fldChar w:fldCharType="end"/>
      </w:r>
      <w:r>
        <w:t>. When in sleep modes, an UE consumes little power since the RF unit is either turned off or operating at a lower clock rate. Switching mechanism between sleep modes and active modes is determined via DRX configurations. With NR DRX, an UE could achieve significant power saving when operating in the licensed band. Similarly in NR-U, in order to reduce UE power consumption, NR DRX could be used with minor modifications. Specifically, a separate set of DRX parameters needs to be designed for NR-U, taking into account the effect of LBT on various traffic models. In addition, during the DRX on-time, the UE should be monitoring the initial signal (or preamble) instead of PDCCH.</w:t>
      </w:r>
    </w:p>
    <w:p w:rsidR="00DF11E6" w:rsidRDefault="00DF11E6" w:rsidP="00391C3B">
      <w:pPr>
        <w:jc w:val="both"/>
      </w:pPr>
      <w:r>
        <w:t>Due to LBT, NR-U traffic tends to be more dynamic as compared to that of NR operating in licensed bands. In such case, we may be forced to increase the on-duration of DRX to achieve the best trade-off between UE power saving and DL transmission efficiency and latency, leading to less UE power saving for NR-U operation. Furthermore, since DRX configurations are semi-static, it is not clear if current DRX framework along could cope with such highly dynamic traffic. One possible solution is to introduce an additional dynamic DL indicator which informs the UE of incoming DL transmission. Specifically, this indicator could be transmitted with a certain periodicity at pre-configured locations known to the UE (similar to paging). Each indicator would inform the UE whether a DL transmission will be scheduled for the following time interval (e.g., the time interval between the current indicator and the next indicator). This is illustrated in</w:t>
      </w:r>
      <w:r w:rsidR="00922E81">
        <w:t xml:space="preserve"> </w:t>
      </w:r>
      <w:r w:rsidR="00922E81">
        <w:fldChar w:fldCharType="begin"/>
      </w:r>
      <w:r w:rsidR="00922E81">
        <w:instrText xml:space="preserve"> REF _Ref535043998 \h </w:instrText>
      </w:r>
      <w:r w:rsidR="00922E81">
        <w:fldChar w:fldCharType="separate"/>
      </w:r>
      <w:r w:rsidR="00E17D28">
        <w:t xml:space="preserve">Figure </w:t>
      </w:r>
      <w:r w:rsidR="00E17D28">
        <w:rPr>
          <w:noProof/>
        </w:rPr>
        <w:t>1</w:t>
      </w:r>
      <w:r w:rsidR="00922E81">
        <w:fldChar w:fldCharType="end"/>
      </w:r>
      <w:r>
        <w:t>. An UE configured with DRX would then operate as follow:</w:t>
      </w:r>
    </w:p>
    <w:p w:rsidR="00DF11E6"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not present at the pre-configured location, the UE operates according to DRX configuration in the following time interval.</w:t>
      </w:r>
    </w:p>
    <w:p w:rsidR="00DF11E6"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present, and it indicates that a DL transmission is scheduled for the UE in the following time interval, the UE would start to monitor for the initial signal or preamble for DL transmission COT detection.</w:t>
      </w:r>
    </w:p>
    <w:p w:rsidR="00DF11E6" w:rsidRPr="00FD61C1" w:rsidRDefault="00DF11E6" w:rsidP="00391C3B">
      <w:pPr>
        <w:pStyle w:val="ListParagraph"/>
        <w:numPr>
          <w:ilvl w:val="0"/>
          <w:numId w:val="34"/>
        </w:numPr>
        <w:spacing w:after="120"/>
        <w:ind w:firstLineChars="0"/>
        <w:contextualSpacing/>
        <w:jc w:val="both"/>
        <w:rPr>
          <w:sz w:val="20"/>
          <w:szCs w:val="20"/>
        </w:rPr>
      </w:pPr>
      <w:r>
        <w:rPr>
          <w:sz w:val="20"/>
          <w:szCs w:val="20"/>
        </w:rPr>
        <w:t>If DL transmission indicator is present, and it indicates that no DL transmission is scheduled for the UE in the following time interval, the UE would stay inactive within the following time interval, even during the preconfigured DRX on-time.</w:t>
      </w:r>
    </w:p>
    <w:p w:rsidR="00DF11E6" w:rsidRDefault="00DF11E6" w:rsidP="00391C3B">
      <w:pPr>
        <w:jc w:val="both"/>
      </w:pPr>
      <w:r>
        <w:t xml:space="preserve">From </w:t>
      </w:r>
      <w:proofErr w:type="spellStart"/>
      <w:r>
        <w:t>gNB’s</w:t>
      </w:r>
      <w:proofErr w:type="spellEnd"/>
      <w:r>
        <w:t xml:space="preserve"> perspective, the DL transmission indicator enables more flexible resource scheduling, and the overall resource utilization efficiency and latency could be improved. For the UE, the indicator helps to further reduce power consumption since the UE does not need to switch to on-state if no DL data transmission is scheduled. On the other hand, if the indicator informs the UE that DL transmission is to happen in the following time interval, it makes sense for the UE to monitor the initial signal (or preamble) within the time interval to avoid missing the PDSCH due to DRX configuration. This is particularly important for NR-U since transmission opportunities are more difficult to obtain. </w:t>
      </w:r>
    </w:p>
    <w:p w:rsidR="00296E67" w:rsidRDefault="00DF11E6" w:rsidP="00391C3B">
      <w:pPr>
        <w:jc w:val="both"/>
      </w:pPr>
      <w:r>
        <w:lastRenderedPageBreak/>
        <w:t>To avoid extra LBT overhead, the DL transmission indicator could be transmitted with other periodic signals, such as NR-U DRS.</w:t>
      </w:r>
    </w:p>
    <w:p w:rsidR="004A11C3" w:rsidRDefault="002615A0" w:rsidP="002615A0">
      <w:pPr>
        <w:pStyle w:val="Caption"/>
        <w:rPr>
          <w:rFonts w:eastAsia="SimSun"/>
          <w:b w:val="0"/>
          <w:lang w:eastAsia="zh-CN"/>
        </w:rPr>
      </w:pPr>
      <w:bookmarkStart w:id="13" w:name="_Ref535048270"/>
      <w:r>
        <w:t xml:space="preserve">Proposal </w:t>
      </w:r>
      <w:r w:rsidR="00BF6B20">
        <w:fldChar w:fldCharType="begin"/>
      </w:r>
      <w:r w:rsidR="00BF6B20">
        <w:instrText xml:space="preserve"> SEQ Proposal \* ARABIC </w:instrText>
      </w:r>
      <w:r w:rsidR="00BF6B20">
        <w:fldChar w:fldCharType="separate"/>
      </w:r>
      <w:r w:rsidR="00E17D28">
        <w:rPr>
          <w:noProof/>
        </w:rPr>
        <w:t>8</w:t>
      </w:r>
      <w:r w:rsidR="00BF6B20">
        <w:rPr>
          <w:noProof/>
        </w:rPr>
        <w:fldChar w:fldCharType="end"/>
      </w:r>
      <w:r w:rsidR="004A11C3" w:rsidRPr="00782710">
        <w:rPr>
          <w:rFonts w:eastAsia="SimSun"/>
          <w:lang w:eastAsia="zh-CN"/>
        </w:rPr>
        <w:t>:</w:t>
      </w:r>
      <w:r w:rsidR="004A11C3">
        <w:rPr>
          <w:rFonts w:eastAsia="SimSun"/>
          <w:lang w:eastAsia="zh-CN"/>
        </w:rPr>
        <w:t xml:space="preserve"> NR-U supports DL transmission indicator for UE power saving and to avoid missing PDSCH due to DRX. The DL transmission indicator could be transmitted within NR-U DRS to avoid LBT overhead.</w:t>
      </w:r>
      <w:bookmarkEnd w:id="13"/>
    </w:p>
    <w:p w:rsidR="00391C3B" w:rsidRDefault="00391C3B" w:rsidP="00391C3B">
      <w:pPr>
        <w:jc w:val="both"/>
        <w:rPr>
          <w:rFonts w:eastAsia="SimSun"/>
          <w:b/>
          <w:lang w:eastAsia="zh-CN"/>
        </w:rPr>
      </w:pPr>
    </w:p>
    <w:p w:rsidR="00324391" w:rsidRPr="00324391" w:rsidRDefault="00324391" w:rsidP="00324391">
      <w:pPr>
        <w:rPr>
          <w:rFonts w:eastAsia="SimSun"/>
          <w:b/>
          <w:lang w:eastAsia="zh-CN"/>
        </w:rPr>
      </w:pPr>
      <w:r>
        <w:rPr>
          <w:noProof/>
          <w:lang w:eastAsia="zh-TW"/>
        </w:rPr>
        <w:drawing>
          <wp:inline distT="0" distB="0" distL="0" distR="0" wp14:anchorId="48817490" wp14:editId="2961A449">
            <wp:extent cx="6122035" cy="234845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2348457"/>
                    </a:xfrm>
                    <a:prstGeom prst="rect">
                      <a:avLst/>
                    </a:prstGeom>
                    <a:noFill/>
                  </pic:spPr>
                </pic:pic>
              </a:graphicData>
            </a:graphic>
          </wp:inline>
        </w:drawing>
      </w:r>
    </w:p>
    <w:p w:rsidR="004A11C3" w:rsidRPr="00285041" w:rsidRDefault="00922E81" w:rsidP="00285041">
      <w:pPr>
        <w:pStyle w:val="Caption"/>
        <w:jc w:val="center"/>
        <w:rPr>
          <w:bCs/>
        </w:rPr>
      </w:pPr>
      <w:bookmarkStart w:id="14" w:name="_Ref528932448"/>
      <w:bookmarkStart w:id="15" w:name="_Ref535043998"/>
      <w:bookmarkEnd w:id="14"/>
      <w:r>
        <w:t xml:space="preserve">Figure </w:t>
      </w:r>
      <w:r w:rsidR="00BF6B20">
        <w:fldChar w:fldCharType="begin"/>
      </w:r>
      <w:r w:rsidR="00BF6B20">
        <w:instrText xml:space="preserve"> SEQ Figure \* ARABIC </w:instrText>
      </w:r>
      <w:r w:rsidR="00BF6B20">
        <w:fldChar w:fldCharType="separate"/>
      </w:r>
      <w:r w:rsidR="00E17D28">
        <w:rPr>
          <w:noProof/>
        </w:rPr>
        <w:t>1</w:t>
      </w:r>
      <w:r w:rsidR="00BF6B20">
        <w:rPr>
          <w:noProof/>
        </w:rPr>
        <w:fldChar w:fldCharType="end"/>
      </w:r>
      <w:bookmarkEnd w:id="15"/>
      <w:r w:rsidR="004A11C3">
        <w:t>: DRX and DL Transmission Indicator for NR-U operation</w:t>
      </w:r>
    </w:p>
    <w:p w:rsidR="00BE5930" w:rsidRDefault="007B4BCD" w:rsidP="00BE5930">
      <w:pPr>
        <w:pStyle w:val="Heading1"/>
      </w:pPr>
      <w:r>
        <w:t>RMSI transmission for ANR purpose</w:t>
      </w:r>
    </w:p>
    <w:tbl>
      <w:tblPr>
        <w:tblStyle w:val="TableGrid"/>
        <w:tblW w:w="0" w:type="auto"/>
        <w:tblLook w:val="04A0" w:firstRow="1" w:lastRow="0" w:firstColumn="1" w:lastColumn="0" w:noHBand="0" w:noVBand="1"/>
      </w:tblPr>
      <w:tblGrid>
        <w:gridCol w:w="9631"/>
      </w:tblGrid>
      <w:tr w:rsidR="00BE5930" w:rsidRPr="0046037F" w:rsidTr="00BE5930">
        <w:tc>
          <w:tcPr>
            <w:tcW w:w="9631" w:type="dxa"/>
          </w:tcPr>
          <w:p w:rsidR="0046037F" w:rsidRPr="0046037F" w:rsidRDefault="0046037F" w:rsidP="0046037F">
            <w:pPr>
              <w:rPr>
                <w:rFonts w:ascii="Times New Roman" w:hAnsi="Times New Roman"/>
                <w:lang w:eastAsia="x-none"/>
              </w:rPr>
            </w:pPr>
            <w:r w:rsidRPr="0046037F">
              <w:rPr>
                <w:rFonts w:ascii="Times New Roman" w:hAnsi="Times New Roman"/>
                <w:highlight w:val="green"/>
                <w:lang w:eastAsia="x-none"/>
              </w:rPr>
              <w:t>Agreement:</w:t>
            </w:r>
            <w:r w:rsidRPr="0046037F">
              <w:rPr>
                <w:rFonts w:ascii="Times New Roman" w:hAnsi="Times New Roman"/>
                <w:lang w:eastAsia="x-none"/>
              </w:rPr>
              <w:t xml:space="preserve"> (RAN1 #98 1908)</w:t>
            </w:r>
          </w:p>
          <w:p w:rsidR="0046037F" w:rsidRPr="0046037F" w:rsidRDefault="0046037F" w:rsidP="0046037F">
            <w:pPr>
              <w:rPr>
                <w:rFonts w:ascii="Times New Roman" w:hAnsi="Times New Roman"/>
                <w:lang w:eastAsia="x-none"/>
              </w:rPr>
            </w:pPr>
            <w:r w:rsidRPr="0046037F">
              <w:rPr>
                <w:rFonts w:ascii="Times New Roman" w:hAnsi="Times New Roman"/>
                <w:lang w:eastAsia="x-none"/>
              </w:rPr>
              <w:t>To support RMSI transmission for ANR purpose on a carrier with an SSB not on a sync raster consider the following alternatives:</w:t>
            </w:r>
          </w:p>
          <w:p w:rsidR="0046037F" w:rsidRPr="0046037F" w:rsidRDefault="0046037F" w:rsidP="0046037F">
            <w:pPr>
              <w:numPr>
                <w:ilvl w:val="0"/>
                <w:numId w:val="45"/>
              </w:numPr>
              <w:overflowPunct/>
              <w:autoSpaceDE/>
              <w:autoSpaceDN/>
              <w:adjustRightInd/>
              <w:spacing w:after="0"/>
              <w:textAlignment w:val="auto"/>
              <w:rPr>
                <w:rFonts w:ascii="Times New Roman" w:hAnsi="Times New Roman"/>
                <w:lang w:eastAsia="x-none"/>
              </w:rPr>
            </w:pPr>
            <w:r w:rsidRPr="0046037F">
              <w:rPr>
                <w:rFonts w:ascii="Times New Roman" w:hAnsi="Times New Roman"/>
                <w:lang w:eastAsia="x-none"/>
              </w:rP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rsidR="0046037F" w:rsidRPr="0046037F" w:rsidRDefault="0046037F" w:rsidP="0046037F">
            <w:pPr>
              <w:numPr>
                <w:ilvl w:val="0"/>
                <w:numId w:val="45"/>
              </w:numPr>
              <w:overflowPunct/>
              <w:autoSpaceDE/>
              <w:autoSpaceDN/>
              <w:adjustRightInd/>
              <w:spacing w:after="0"/>
              <w:textAlignment w:val="auto"/>
              <w:rPr>
                <w:rFonts w:ascii="Times New Roman" w:hAnsi="Times New Roman"/>
                <w:lang w:eastAsia="x-none"/>
              </w:rPr>
            </w:pPr>
            <w:r w:rsidRPr="0046037F">
              <w:rPr>
                <w:rFonts w:ascii="Times New Roman" w:hAnsi="Times New Roman"/>
                <w:lang w:eastAsia="x-none"/>
              </w:rPr>
              <w:t xml:space="preserve">Alt 2: gNB configures the UE to report the CGI for a PCI on a given SSB frequency not on a sync raster point and the MIB in SSB will point to the frequency location of the </w:t>
            </w:r>
            <w:proofErr w:type="spellStart"/>
            <w:r w:rsidRPr="0046037F">
              <w:rPr>
                <w:rFonts w:ascii="Times New Roman" w:hAnsi="Times New Roman"/>
                <w:lang w:eastAsia="x-none"/>
              </w:rPr>
              <w:t>coreset</w:t>
            </w:r>
            <w:proofErr w:type="spellEnd"/>
            <w:r w:rsidRPr="0046037F">
              <w:rPr>
                <w:rFonts w:ascii="Times New Roman" w:hAnsi="Times New Roman"/>
                <w:lang w:eastAsia="x-none"/>
              </w:rPr>
              <w:t xml:space="preserve"> #0.</w:t>
            </w:r>
          </w:p>
          <w:p w:rsidR="0046037F" w:rsidRPr="0046037F" w:rsidRDefault="0046037F" w:rsidP="0046037F">
            <w:pPr>
              <w:numPr>
                <w:ilvl w:val="1"/>
                <w:numId w:val="45"/>
              </w:numPr>
              <w:overflowPunct/>
              <w:autoSpaceDE/>
              <w:autoSpaceDN/>
              <w:adjustRightInd/>
              <w:spacing w:after="0"/>
              <w:textAlignment w:val="auto"/>
              <w:rPr>
                <w:rFonts w:ascii="Times New Roman" w:hAnsi="Times New Roman"/>
                <w:lang w:eastAsia="x-none"/>
              </w:rPr>
            </w:pPr>
            <w:r w:rsidRPr="0046037F">
              <w:rPr>
                <w:rFonts w:ascii="Times New Roman" w:hAnsi="Times New Roman"/>
                <w:lang w:eastAsia="x-none"/>
              </w:rPr>
              <w:t xml:space="preserve">FFS: number of CORESET 0 offsets configurable in MIB when SSB is not on sync raster entry </w:t>
            </w:r>
          </w:p>
          <w:p w:rsidR="0046037F" w:rsidRPr="0046037F" w:rsidRDefault="0046037F" w:rsidP="0046037F">
            <w:pPr>
              <w:numPr>
                <w:ilvl w:val="1"/>
                <w:numId w:val="45"/>
              </w:numPr>
              <w:overflowPunct/>
              <w:autoSpaceDE/>
              <w:autoSpaceDN/>
              <w:adjustRightInd/>
              <w:spacing w:after="0"/>
              <w:textAlignment w:val="auto"/>
              <w:rPr>
                <w:rFonts w:ascii="Times New Roman" w:hAnsi="Times New Roman"/>
                <w:lang w:eastAsia="x-none"/>
              </w:rPr>
            </w:pPr>
            <w:r w:rsidRPr="0046037F">
              <w:rPr>
                <w:rFonts w:ascii="Times New Roman" w:hAnsi="Times New Roman"/>
                <w:lang w:eastAsia="x-none"/>
              </w:rPr>
              <w:t xml:space="preserve">Note: </w:t>
            </w:r>
            <w:proofErr w:type="spellStart"/>
            <w:r w:rsidRPr="0046037F">
              <w:rPr>
                <w:rFonts w:ascii="Times New Roman" w:hAnsi="Times New Roman"/>
                <w:lang w:eastAsia="x-none"/>
              </w:rPr>
              <w:t>Signalling</w:t>
            </w:r>
            <w:proofErr w:type="spellEnd"/>
            <w:r w:rsidRPr="0046037F">
              <w:rPr>
                <w:rFonts w:ascii="Times New Roman" w:hAnsi="Times New Roman"/>
                <w:lang w:eastAsia="x-none"/>
              </w:rPr>
              <w:t xml:space="preserve"> of offset only necessary if more than one off-sync-raster point offset is agreed</w:t>
            </w:r>
          </w:p>
          <w:p w:rsidR="00BE5930" w:rsidRPr="0046037F" w:rsidRDefault="00BE5930" w:rsidP="0046037F">
            <w:pPr>
              <w:overflowPunct/>
              <w:autoSpaceDE/>
              <w:autoSpaceDN/>
              <w:adjustRightInd/>
              <w:spacing w:after="0"/>
              <w:textAlignment w:val="auto"/>
              <w:rPr>
                <w:rFonts w:ascii="Times New Roman" w:hAnsi="Times New Roman"/>
                <w:lang w:eastAsia="x-none"/>
              </w:rPr>
            </w:pPr>
          </w:p>
        </w:tc>
      </w:tr>
    </w:tbl>
    <w:p w:rsidR="00174199" w:rsidRDefault="00174199" w:rsidP="00BE5930"/>
    <w:p w:rsidR="00174199" w:rsidRDefault="00174199" w:rsidP="00BE5930">
      <w:r>
        <w:t xml:space="preserve">As UE still needs to read PBCH in order to learn the Type0-PDCCH search configuration, Alt 2 is preferred from the UE’s perspective.  </w:t>
      </w:r>
    </w:p>
    <w:p w:rsidR="00785C34" w:rsidRPr="00BE5930" w:rsidRDefault="008D72EE" w:rsidP="008D72EE">
      <w:pPr>
        <w:pStyle w:val="Caption"/>
      </w:pPr>
      <w:bookmarkStart w:id="16" w:name="_Ref21419982"/>
      <w:r>
        <w:t xml:space="preserve">Proposal </w:t>
      </w:r>
      <w:r w:rsidR="00BF6B20">
        <w:fldChar w:fldCharType="begin"/>
      </w:r>
      <w:r w:rsidR="00BF6B20">
        <w:instrText xml:space="preserve"> SEQ Proposal \* ARABIC </w:instrText>
      </w:r>
      <w:r w:rsidR="00BF6B20">
        <w:fldChar w:fldCharType="separate"/>
      </w:r>
      <w:r w:rsidR="00E17D28">
        <w:rPr>
          <w:noProof/>
        </w:rPr>
        <w:t>9</w:t>
      </w:r>
      <w:r w:rsidR="00BF6B20">
        <w:rPr>
          <w:noProof/>
        </w:rPr>
        <w:fldChar w:fldCharType="end"/>
      </w:r>
      <w:r>
        <w:t xml:space="preserve">: </w:t>
      </w:r>
      <w:r w:rsidR="00FA3369">
        <w:t xml:space="preserve">When gNB configures the UE to report the CGI for a PCI on a given SSB frequency not on a sync raster point, UE reads MIB to determine the CORESET#0 and Type0-PDCCH search </w:t>
      </w:r>
      <w:r w:rsidR="00A706F3">
        <w:t>configuration for RMSI acquisition</w:t>
      </w:r>
      <w:r w:rsidR="00FA3369">
        <w:t>.</w:t>
      </w:r>
      <w:bookmarkEnd w:id="16"/>
      <w:r w:rsidR="00FA3369">
        <w:t xml:space="preserve">  </w:t>
      </w:r>
    </w:p>
    <w:bookmarkEnd w:id="0"/>
    <w:p w:rsidR="004B78AB" w:rsidRDefault="004B78AB" w:rsidP="004B78AB">
      <w:pPr>
        <w:pStyle w:val="Heading1"/>
        <w:jc w:val="both"/>
        <w:rPr>
          <w:lang w:eastAsia="zh-CN"/>
        </w:rPr>
      </w:pPr>
      <w:r>
        <w:rPr>
          <w:lang w:eastAsia="zh-CN"/>
        </w:rPr>
        <w:t>Conclusion</w:t>
      </w:r>
    </w:p>
    <w:p w:rsidR="00285041" w:rsidRDefault="00292F16" w:rsidP="00916AC2">
      <w:pPr>
        <w:jc w:val="both"/>
        <w:rPr>
          <w:lang w:val="en-GB" w:eastAsia="zh-CN"/>
        </w:rPr>
      </w:pPr>
      <w:r>
        <w:rPr>
          <w:lang w:val="en-GB" w:eastAsia="zh-CN"/>
        </w:rPr>
        <w:t xml:space="preserve">In this contribution, </w:t>
      </w:r>
      <w:r>
        <w:rPr>
          <w:lang w:val="en-GB" w:eastAsia="zh-CN"/>
        </w:rPr>
        <w:t>we make the following proposals</w:t>
      </w:r>
      <w:r>
        <w:rPr>
          <w:lang w:val="en-GB" w:eastAsia="zh-CN"/>
        </w:rPr>
        <w:t xml:space="preserve">. </w:t>
      </w:r>
    </w:p>
    <w:p w:rsidR="00292F16" w:rsidRPr="00B8604E" w:rsidRDefault="00FC05E1" w:rsidP="00916AC2">
      <w:pPr>
        <w:jc w:val="both"/>
        <w:rPr>
          <w:b/>
          <w:lang w:val="en-GB" w:eastAsia="zh-CN"/>
        </w:rPr>
      </w:pPr>
      <w:r w:rsidRPr="00B8604E">
        <w:rPr>
          <w:b/>
          <w:lang w:val="en-GB" w:eastAsia="zh-CN"/>
        </w:rPr>
        <w:fldChar w:fldCharType="begin"/>
      </w:r>
      <w:r w:rsidRPr="00B8604E">
        <w:rPr>
          <w:b/>
          <w:lang w:val="en-GB" w:eastAsia="zh-CN"/>
        </w:rPr>
        <w:instrText xml:space="preserve"> REF _Ref21419940 \h </w:instrText>
      </w:r>
      <w:r w:rsidRPr="00B8604E">
        <w:rPr>
          <w:b/>
          <w:lang w:val="en-GB" w:eastAsia="zh-CN"/>
        </w:rPr>
      </w:r>
      <w:r w:rsidR="00B8604E">
        <w:rPr>
          <w:b/>
          <w:lang w:val="en-GB" w:eastAsia="zh-CN"/>
        </w:rPr>
        <w:instrText xml:space="preserve"> \* MERGEFORMAT </w:instrText>
      </w:r>
      <w:r w:rsidRPr="00B8604E">
        <w:rPr>
          <w:b/>
          <w:lang w:val="en-GB" w:eastAsia="zh-CN"/>
        </w:rPr>
        <w:fldChar w:fldCharType="separate"/>
      </w:r>
      <w:r w:rsidR="00E17D28" w:rsidRPr="00E17D28">
        <w:rPr>
          <w:b/>
        </w:rPr>
        <w:t xml:space="preserve">Proposal </w:t>
      </w:r>
      <w:r w:rsidR="00E17D28" w:rsidRPr="00E17D28">
        <w:rPr>
          <w:b/>
          <w:noProof/>
        </w:rPr>
        <w:t>1</w:t>
      </w:r>
      <w:r w:rsidR="00E17D28" w:rsidRPr="00E17D28">
        <w:rPr>
          <w:b/>
        </w:rPr>
        <w:t xml:space="preserve">: For PRACH enhancement, support repetition of Rel-15 PRACH sequences in frequency domain with time-domain cyclic shifts for PAPR reduction. Support 4 repetitions for </w:t>
      </w:r>
      <w:proofErr w:type="gramStart"/>
      <w:r w:rsidR="00E17D28" w:rsidRPr="00E17D28">
        <w:rPr>
          <w:b/>
        </w:rPr>
        <w:t>30KHz</w:t>
      </w:r>
      <w:proofErr w:type="gramEnd"/>
      <w:r w:rsidR="00E17D28" w:rsidRPr="00E17D28">
        <w:rPr>
          <w:b/>
        </w:rPr>
        <w:t xml:space="preserve"> SCS, and 8 repetitions for 15KHz SCS.</w:t>
      </w:r>
      <w:r w:rsidRPr="00B8604E">
        <w:rPr>
          <w:b/>
          <w:lang w:val="en-GB" w:eastAsia="zh-CN"/>
        </w:rPr>
        <w:fldChar w:fldCharType="end"/>
      </w:r>
    </w:p>
    <w:p w:rsidR="00FC05E1" w:rsidRPr="00B8604E" w:rsidRDefault="00FC05E1" w:rsidP="00916AC2">
      <w:pPr>
        <w:jc w:val="both"/>
        <w:rPr>
          <w:b/>
          <w:lang w:val="en-GB" w:eastAsia="zh-CN"/>
        </w:rPr>
      </w:pPr>
      <w:r w:rsidRPr="00B8604E">
        <w:rPr>
          <w:b/>
          <w:lang w:val="en-GB" w:eastAsia="zh-CN"/>
        </w:rPr>
        <w:fldChar w:fldCharType="begin"/>
      </w:r>
      <w:r w:rsidRPr="00B8604E">
        <w:rPr>
          <w:b/>
          <w:lang w:val="en-GB" w:eastAsia="zh-CN"/>
        </w:rPr>
        <w:instrText xml:space="preserve"> REF _Ref7697531 \h </w:instrText>
      </w:r>
      <w:r w:rsidRPr="00B8604E">
        <w:rPr>
          <w:b/>
          <w:lang w:val="en-GB" w:eastAsia="zh-CN"/>
        </w:rPr>
      </w:r>
      <w:r w:rsidR="00B8604E">
        <w:rPr>
          <w:b/>
          <w:lang w:val="en-GB" w:eastAsia="zh-CN"/>
        </w:rPr>
        <w:instrText xml:space="preserve"> \* MERGEFORMAT </w:instrText>
      </w:r>
      <w:r w:rsidRPr="00B8604E">
        <w:rPr>
          <w:b/>
          <w:lang w:val="en-GB" w:eastAsia="zh-CN"/>
        </w:rPr>
        <w:fldChar w:fldCharType="separate"/>
      </w:r>
      <w:r w:rsidR="00E17D28" w:rsidRPr="00E17D28">
        <w:rPr>
          <w:b/>
        </w:rPr>
        <w:t xml:space="preserve">Proposal </w:t>
      </w:r>
      <w:r w:rsidR="00E17D28" w:rsidRPr="00E17D28">
        <w:rPr>
          <w:b/>
          <w:noProof/>
        </w:rPr>
        <w:t>2</w:t>
      </w:r>
      <w:r w:rsidR="00E17D28" w:rsidRPr="00E17D28">
        <w:rPr>
          <w:b/>
        </w:rPr>
        <w:t xml:space="preserve">: Support SS/PBCH blocks to be located symbols (2, 3, 4, </w:t>
      </w:r>
      <w:proofErr w:type="gramStart"/>
      <w:r w:rsidR="00E17D28" w:rsidRPr="00E17D28">
        <w:rPr>
          <w:b/>
        </w:rPr>
        <w:t>5</w:t>
      </w:r>
      <w:proofErr w:type="gramEnd"/>
      <w:r w:rsidR="00E17D28" w:rsidRPr="00E17D28">
        <w:rPr>
          <w:b/>
        </w:rPr>
        <w:t>) and (9, 10, 11, 12) in a slot for NR-U. In other words, support Alt2 for SSB positions in a slot.</w:t>
      </w:r>
      <w:r w:rsidRPr="00B8604E">
        <w:rPr>
          <w:b/>
          <w:lang w:val="en-GB" w:eastAsia="zh-CN"/>
        </w:rPr>
        <w:fldChar w:fldCharType="end"/>
      </w:r>
    </w:p>
    <w:p w:rsidR="00FC05E1" w:rsidRPr="00B8604E" w:rsidRDefault="00FC05E1" w:rsidP="00916AC2">
      <w:pPr>
        <w:jc w:val="both"/>
        <w:rPr>
          <w:b/>
          <w:lang w:val="en-GB" w:eastAsia="zh-CN"/>
        </w:rPr>
      </w:pPr>
      <w:r w:rsidRPr="00B8604E">
        <w:rPr>
          <w:b/>
          <w:lang w:val="en-GB" w:eastAsia="zh-CN"/>
        </w:rPr>
        <w:lastRenderedPageBreak/>
        <w:fldChar w:fldCharType="begin"/>
      </w:r>
      <w:r w:rsidRPr="00B8604E">
        <w:rPr>
          <w:b/>
          <w:lang w:val="en-GB" w:eastAsia="zh-CN"/>
        </w:rPr>
        <w:instrText xml:space="preserve"> REF _Ref7697542 \h </w:instrText>
      </w:r>
      <w:r w:rsidRPr="00B8604E">
        <w:rPr>
          <w:b/>
          <w:lang w:val="en-GB" w:eastAsia="zh-CN"/>
        </w:rPr>
      </w:r>
      <w:r w:rsidR="00B8604E">
        <w:rPr>
          <w:b/>
          <w:lang w:val="en-GB" w:eastAsia="zh-CN"/>
        </w:rPr>
        <w:instrText xml:space="preserve"> \* MERGEFORMAT </w:instrText>
      </w:r>
      <w:r w:rsidRPr="00B8604E">
        <w:rPr>
          <w:b/>
          <w:lang w:val="en-GB" w:eastAsia="zh-CN"/>
        </w:rPr>
        <w:fldChar w:fldCharType="separate"/>
      </w:r>
      <w:r w:rsidR="00E17D28" w:rsidRPr="00E17D28">
        <w:rPr>
          <w:b/>
        </w:rPr>
        <w:t xml:space="preserve">Proposal </w:t>
      </w:r>
      <w:r w:rsidR="00E17D28" w:rsidRPr="00E17D28">
        <w:rPr>
          <w:b/>
          <w:noProof/>
        </w:rPr>
        <w:t>3</w:t>
      </w:r>
      <w:r w:rsidR="00E17D28" w:rsidRPr="00E17D28">
        <w:rPr>
          <w:b/>
        </w:rPr>
        <w:t>: Similar to NR, NR-U supports that both CORESET and search space configurations for Type-0 PDCCH are carried by PBCH.</w:t>
      </w:r>
      <w:r w:rsidRPr="00B8604E">
        <w:rPr>
          <w:b/>
          <w:lang w:val="en-GB" w:eastAsia="zh-CN"/>
        </w:rPr>
        <w:fldChar w:fldCharType="end"/>
      </w:r>
    </w:p>
    <w:p w:rsidR="00FC05E1" w:rsidRPr="00B8604E" w:rsidRDefault="00FC05E1" w:rsidP="00916AC2">
      <w:pPr>
        <w:jc w:val="both"/>
        <w:rPr>
          <w:b/>
          <w:lang w:val="en-GB" w:eastAsia="zh-CN"/>
        </w:rPr>
      </w:pPr>
      <w:r w:rsidRPr="00B8604E">
        <w:rPr>
          <w:b/>
          <w:lang w:val="en-GB" w:eastAsia="zh-CN"/>
        </w:rPr>
        <w:fldChar w:fldCharType="begin"/>
      </w:r>
      <w:r w:rsidRPr="00B8604E">
        <w:rPr>
          <w:b/>
          <w:lang w:val="en-GB" w:eastAsia="zh-CN"/>
        </w:rPr>
        <w:instrText xml:space="preserve"> REF _Ref21419961 \h </w:instrText>
      </w:r>
      <w:r w:rsidRPr="00B8604E">
        <w:rPr>
          <w:b/>
          <w:lang w:val="en-GB" w:eastAsia="zh-CN"/>
        </w:rPr>
      </w:r>
      <w:r w:rsidR="00B8604E" w:rsidRPr="00B8604E">
        <w:rPr>
          <w:b/>
          <w:lang w:val="en-GB" w:eastAsia="zh-CN"/>
        </w:rPr>
        <w:instrText xml:space="preserve"> \* MERGEFORMAT </w:instrText>
      </w:r>
      <w:r w:rsidRPr="00B8604E">
        <w:rPr>
          <w:b/>
          <w:lang w:val="en-GB" w:eastAsia="zh-CN"/>
        </w:rPr>
        <w:fldChar w:fldCharType="separate"/>
      </w:r>
      <w:r w:rsidR="00E17D28" w:rsidRPr="00E17D28">
        <w:rPr>
          <w:b/>
        </w:rPr>
        <w:t xml:space="preserve">Proposal </w:t>
      </w:r>
      <w:r w:rsidR="00E17D28" w:rsidRPr="00E17D28">
        <w:rPr>
          <w:b/>
          <w:noProof/>
        </w:rPr>
        <w:t>4</w:t>
      </w:r>
      <w:r w:rsidR="00E17D28" w:rsidRPr="00E17D28">
        <w:rPr>
          <w:b/>
        </w:rPr>
        <w:t>: For each subcarrier spacing</w:t>
      </w:r>
      <w:r w:rsidR="00E17D28" w:rsidRPr="00E17D28">
        <w:rPr>
          <w:b/>
          <w:color w:val="000000" w:themeColor="text1"/>
        </w:rPr>
        <w:t xml:space="preserve">, support only one single value for the PRB offset between CORESET#0 and SSB in </w:t>
      </w:r>
      <w:r w:rsidR="00E17D28" w:rsidRPr="00E17D28">
        <w:rPr>
          <w:b/>
          <w:color w:val="000000" w:themeColor="text1"/>
        </w:rPr>
        <w:t>Type0-PDCCH CORESET configuration</w:t>
      </w:r>
      <w:r w:rsidR="00E17D28" w:rsidRPr="00E17D28">
        <w:rPr>
          <w:b/>
          <w:color w:val="000000" w:themeColor="text1"/>
        </w:rPr>
        <w:t>.</w:t>
      </w:r>
      <w:r w:rsidRPr="00B8604E">
        <w:rPr>
          <w:b/>
          <w:lang w:val="en-GB" w:eastAsia="zh-CN"/>
        </w:rPr>
        <w:fldChar w:fldCharType="end"/>
      </w:r>
    </w:p>
    <w:p w:rsidR="00FC05E1" w:rsidRPr="00B8604E" w:rsidRDefault="00FC05E1" w:rsidP="00B8604E">
      <w:pPr>
        <w:pStyle w:val="ListParagraph"/>
        <w:numPr>
          <w:ilvl w:val="0"/>
          <w:numId w:val="48"/>
        </w:numPr>
        <w:ind w:firstLineChars="0"/>
        <w:jc w:val="both"/>
        <w:rPr>
          <w:b/>
          <w:sz w:val="20"/>
          <w:szCs w:val="20"/>
          <w:lang w:val="en-GB" w:eastAsia="zh-CN"/>
        </w:rPr>
      </w:pPr>
      <w:r w:rsidRPr="00B8604E">
        <w:rPr>
          <w:b/>
          <w:sz w:val="20"/>
          <w:szCs w:val="20"/>
        </w:rPr>
        <w:t xml:space="preserve">FFS the exact offset values </w:t>
      </w:r>
      <w:r w:rsidRPr="00B8604E">
        <w:rPr>
          <w:b/>
          <w:color w:val="000000" w:themeColor="text1"/>
          <w:sz w:val="20"/>
          <w:szCs w:val="20"/>
        </w:rPr>
        <w:t>by considering RAN4’s final decision on sync raster placement</w:t>
      </w:r>
    </w:p>
    <w:p w:rsidR="00B8604E" w:rsidRDefault="00B8604E" w:rsidP="00B8604E">
      <w:pPr>
        <w:jc w:val="both"/>
        <w:rPr>
          <w:lang w:val="en-GB" w:eastAsia="zh-CN"/>
        </w:rPr>
      </w:pPr>
    </w:p>
    <w:p w:rsidR="00541CEE" w:rsidRPr="00541CEE" w:rsidRDefault="00541CEE" w:rsidP="00B8604E">
      <w:pPr>
        <w:jc w:val="both"/>
        <w:rPr>
          <w:b/>
          <w:lang w:val="en-GB" w:eastAsia="zh-CN"/>
        </w:rPr>
      </w:pPr>
      <w:r w:rsidRPr="00541CEE">
        <w:rPr>
          <w:b/>
          <w:lang w:val="en-GB" w:eastAsia="zh-CN"/>
        </w:rPr>
        <w:fldChar w:fldCharType="begin"/>
      </w:r>
      <w:r w:rsidRPr="00541CEE">
        <w:rPr>
          <w:b/>
          <w:lang w:val="en-GB" w:eastAsia="zh-CN"/>
        </w:rPr>
        <w:instrText xml:space="preserve"> REF _Ref21420210 \h </w:instrText>
      </w:r>
      <w:r w:rsidRPr="00541CEE">
        <w:rPr>
          <w:b/>
          <w:lang w:val="en-GB" w:eastAsia="zh-CN"/>
        </w:rPr>
      </w:r>
      <w:r>
        <w:rPr>
          <w:b/>
          <w:lang w:val="en-GB" w:eastAsia="zh-CN"/>
        </w:rPr>
        <w:instrText xml:space="preserve"> \* MERGEFORMAT </w:instrText>
      </w:r>
      <w:r w:rsidRPr="00541CEE">
        <w:rPr>
          <w:b/>
          <w:lang w:val="en-GB" w:eastAsia="zh-CN"/>
        </w:rPr>
        <w:fldChar w:fldCharType="separate"/>
      </w:r>
      <w:r w:rsidR="00E17D28" w:rsidRPr="00E17D28">
        <w:rPr>
          <w:b/>
        </w:rPr>
        <w:t xml:space="preserve">Proposal </w:t>
      </w:r>
      <w:r w:rsidR="00E17D28" w:rsidRPr="00E17D28">
        <w:rPr>
          <w:b/>
          <w:noProof/>
        </w:rPr>
        <w:t>5</w:t>
      </w:r>
      <w:r w:rsidR="00E17D28" w:rsidRPr="00E17D28">
        <w:rPr>
          <w:b/>
        </w:rPr>
        <w:t>: U</w:t>
      </w:r>
      <w:r w:rsidR="00E17D28" w:rsidRPr="00E17D28">
        <w:rPr>
          <w:b/>
        </w:rPr>
        <w:t>se Table 13-11 in TS38.213</w:t>
      </w:r>
      <w:r w:rsidR="00E17D28" w:rsidRPr="00E17D28">
        <w:rPr>
          <w:b/>
        </w:rPr>
        <w:t xml:space="preserve"> </w:t>
      </w:r>
      <w:r w:rsidR="00E17D28" w:rsidRPr="00E17D28">
        <w:rPr>
          <w:b/>
        </w:rPr>
        <w:t>as a starting point</w:t>
      </w:r>
      <w:r w:rsidR="00E17D28" w:rsidRPr="00E17D28">
        <w:rPr>
          <w:b/>
        </w:rPr>
        <w:t xml:space="preserve"> for Type0-PDCCH search space configuration for NR-U.</w:t>
      </w:r>
      <w:r w:rsidRPr="00541CEE">
        <w:rPr>
          <w:b/>
          <w:lang w:val="en-GB" w:eastAsia="zh-CN"/>
        </w:rPr>
        <w:fldChar w:fldCharType="end"/>
      </w:r>
    </w:p>
    <w:p w:rsidR="00541CEE" w:rsidRPr="00541CEE" w:rsidRDefault="00541CEE" w:rsidP="00B8604E">
      <w:pPr>
        <w:jc w:val="both"/>
        <w:rPr>
          <w:b/>
          <w:lang w:val="en-GB" w:eastAsia="zh-CN"/>
        </w:rPr>
      </w:pPr>
      <w:r w:rsidRPr="00541CEE">
        <w:rPr>
          <w:b/>
          <w:lang w:val="en-GB" w:eastAsia="zh-CN"/>
        </w:rPr>
        <w:fldChar w:fldCharType="begin"/>
      </w:r>
      <w:r w:rsidRPr="00541CEE">
        <w:rPr>
          <w:b/>
          <w:lang w:val="en-GB" w:eastAsia="zh-CN"/>
        </w:rPr>
        <w:instrText xml:space="preserve"> REF _Ref21420219 \h </w:instrText>
      </w:r>
      <w:r w:rsidRPr="00541CEE">
        <w:rPr>
          <w:b/>
          <w:lang w:val="en-GB" w:eastAsia="zh-CN"/>
        </w:rPr>
      </w:r>
      <w:r>
        <w:rPr>
          <w:b/>
          <w:lang w:val="en-GB" w:eastAsia="zh-CN"/>
        </w:rPr>
        <w:instrText xml:space="preserve"> \* MERGEFORMAT </w:instrText>
      </w:r>
      <w:r w:rsidRPr="00541CEE">
        <w:rPr>
          <w:b/>
          <w:lang w:val="en-GB" w:eastAsia="zh-CN"/>
        </w:rPr>
        <w:fldChar w:fldCharType="separate"/>
      </w:r>
      <w:r w:rsidR="00E17D28" w:rsidRPr="00E17D28">
        <w:rPr>
          <w:b/>
        </w:rPr>
        <w:t xml:space="preserve">Proposal </w:t>
      </w:r>
      <w:r w:rsidR="00E17D28" w:rsidRPr="00E17D28">
        <w:rPr>
          <w:b/>
          <w:noProof/>
        </w:rPr>
        <w:t>6</w:t>
      </w:r>
      <w:r w:rsidR="00E17D28" w:rsidRPr="00E17D28">
        <w:rPr>
          <w:b/>
        </w:rPr>
        <w:t xml:space="preserve">: Support Table </w:t>
      </w:r>
      <w:r w:rsidR="00E17D28" w:rsidRPr="00E17D28">
        <w:rPr>
          <w:b/>
          <w:noProof/>
        </w:rPr>
        <w:t>1</w:t>
      </w:r>
      <w:r w:rsidR="00E17D28" w:rsidRPr="00E17D28">
        <w:rPr>
          <w:b/>
        </w:rPr>
        <w:t xml:space="preserve"> for space configuration for Type0-PDCCH in NR-U.</w:t>
      </w:r>
      <w:r w:rsidRPr="00541CEE">
        <w:rPr>
          <w:b/>
          <w:lang w:val="en-GB" w:eastAsia="zh-CN"/>
        </w:rPr>
        <w:fldChar w:fldCharType="end"/>
      </w:r>
    </w:p>
    <w:p w:rsidR="00FC05E1" w:rsidRPr="00B8604E" w:rsidRDefault="00FC05E1" w:rsidP="00916AC2">
      <w:pPr>
        <w:jc w:val="both"/>
        <w:rPr>
          <w:b/>
          <w:lang w:val="en-GB" w:eastAsia="zh-CN"/>
        </w:rPr>
      </w:pPr>
      <w:r w:rsidRPr="00B8604E">
        <w:rPr>
          <w:b/>
          <w:lang w:val="en-GB" w:eastAsia="zh-CN"/>
        </w:rPr>
        <w:fldChar w:fldCharType="begin"/>
      </w:r>
      <w:r w:rsidRPr="00B8604E">
        <w:rPr>
          <w:b/>
          <w:lang w:val="en-GB" w:eastAsia="zh-CN"/>
        </w:rPr>
        <w:instrText xml:space="preserve"> REF _Ref16928742 \h </w:instrText>
      </w:r>
      <w:r w:rsidRPr="00B8604E">
        <w:rPr>
          <w:b/>
          <w:lang w:val="en-GB" w:eastAsia="zh-CN"/>
        </w:rPr>
      </w:r>
      <w:r w:rsidR="00B8604E">
        <w:rPr>
          <w:b/>
          <w:lang w:val="en-GB" w:eastAsia="zh-CN"/>
        </w:rPr>
        <w:instrText xml:space="preserve"> \* MERGEFORMAT </w:instrText>
      </w:r>
      <w:r w:rsidRPr="00B8604E">
        <w:rPr>
          <w:b/>
          <w:lang w:val="en-GB" w:eastAsia="zh-CN"/>
        </w:rPr>
        <w:fldChar w:fldCharType="separate"/>
      </w:r>
      <w:r w:rsidR="00E17D28" w:rsidRPr="00E17D28">
        <w:rPr>
          <w:b/>
        </w:rPr>
        <w:t xml:space="preserve">Proposal </w:t>
      </w:r>
      <w:r w:rsidR="00E17D28" w:rsidRPr="00E17D28">
        <w:rPr>
          <w:b/>
          <w:noProof/>
        </w:rPr>
        <w:t>7</w:t>
      </w:r>
      <w:r w:rsidR="00E17D28" w:rsidRPr="00E17D28">
        <w:rPr>
          <w:b/>
        </w:rPr>
        <w:t>: NR-U does not support rate matching RMSI around SSBs.</w:t>
      </w:r>
      <w:r w:rsidRPr="00B8604E">
        <w:rPr>
          <w:b/>
          <w:lang w:val="en-GB" w:eastAsia="zh-CN"/>
        </w:rPr>
        <w:fldChar w:fldCharType="end"/>
      </w:r>
    </w:p>
    <w:p w:rsidR="00FC05E1" w:rsidRPr="00B8604E" w:rsidRDefault="00FC05E1" w:rsidP="00916AC2">
      <w:pPr>
        <w:jc w:val="both"/>
        <w:rPr>
          <w:b/>
          <w:lang w:val="en-GB" w:eastAsia="zh-CN"/>
        </w:rPr>
      </w:pPr>
      <w:r w:rsidRPr="00B8604E">
        <w:rPr>
          <w:b/>
          <w:lang w:val="en-GB" w:eastAsia="zh-CN"/>
        </w:rPr>
        <w:fldChar w:fldCharType="begin"/>
      </w:r>
      <w:r w:rsidRPr="00B8604E">
        <w:rPr>
          <w:b/>
          <w:lang w:val="en-GB" w:eastAsia="zh-CN"/>
        </w:rPr>
        <w:instrText xml:space="preserve"> REF _Ref535048270 \h </w:instrText>
      </w:r>
      <w:r w:rsidRPr="00B8604E">
        <w:rPr>
          <w:b/>
          <w:lang w:val="en-GB" w:eastAsia="zh-CN"/>
        </w:rPr>
      </w:r>
      <w:r w:rsidR="00B8604E">
        <w:rPr>
          <w:b/>
          <w:lang w:val="en-GB" w:eastAsia="zh-CN"/>
        </w:rPr>
        <w:instrText xml:space="preserve"> \* MERGEFORMAT </w:instrText>
      </w:r>
      <w:r w:rsidRPr="00B8604E">
        <w:rPr>
          <w:b/>
          <w:lang w:val="en-GB" w:eastAsia="zh-CN"/>
        </w:rPr>
        <w:fldChar w:fldCharType="separate"/>
      </w:r>
      <w:r w:rsidR="00E17D28" w:rsidRPr="00E17D28">
        <w:rPr>
          <w:b/>
        </w:rPr>
        <w:t xml:space="preserve">Proposal </w:t>
      </w:r>
      <w:r w:rsidR="00E17D28" w:rsidRPr="00E17D28">
        <w:rPr>
          <w:b/>
          <w:noProof/>
        </w:rPr>
        <w:t>8</w:t>
      </w:r>
      <w:r w:rsidR="00E17D28" w:rsidRPr="00E17D28">
        <w:rPr>
          <w:rFonts w:eastAsia="SimSun"/>
          <w:b/>
          <w:lang w:eastAsia="zh-CN"/>
        </w:rPr>
        <w:t>: NR-U supports DL transmission indicator for UE power saving and to avoid missing PDSCH due to DRX. The DL transmission indicator could be transmitted within NR-U DRS to avoid LBT overhead.</w:t>
      </w:r>
      <w:r w:rsidRPr="00B8604E">
        <w:rPr>
          <w:b/>
          <w:lang w:val="en-GB" w:eastAsia="zh-CN"/>
        </w:rPr>
        <w:fldChar w:fldCharType="end"/>
      </w:r>
    </w:p>
    <w:p w:rsidR="00785C34" w:rsidRDefault="00FC05E1" w:rsidP="00916AC2">
      <w:pPr>
        <w:jc w:val="both"/>
        <w:rPr>
          <w:lang w:val="en-GB" w:eastAsia="zh-CN"/>
        </w:rPr>
      </w:pPr>
      <w:r w:rsidRPr="00B8604E">
        <w:rPr>
          <w:b/>
          <w:lang w:val="en-GB" w:eastAsia="zh-CN"/>
        </w:rPr>
        <w:fldChar w:fldCharType="begin"/>
      </w:r>
      <w:r w:rsidRPr="00B8604E">
        <w:rPr>
          <w:b/>
          <w:lang w:val="en-GB" w:eastAsia="zh-CN"/>
        </w:rPr>
        <w:instrText xml:space="preserve"> REF _Ref21419982 \h </w:instrText>
      </w:r>
      <w:r w:rsidRPr="00B8604E">
        <w:rPr>
          <w:b/>
          <w:lang w:val="en-GB" w:eastAsia="zh-CN"/>
        </w:rPr>
      </w:r>
      <w:r w:rsidR="00B8604E">
        <w:rPr>
          <w:b/>
          <w:lang w:val="en-GB" w:eastAsia="zh-CN"/>
        </w:rPr>
        <w:instrText xml:space="preserve"> \* MERGEFORMAT </w:instrText>
      </w:r>
      <w:r w:rsidRPr="00B8604E">
        <w:rPr>
          <w:b/>
          <w:lang w:val="en-GB" w:eastAsia="zh-CN"/>
        </w:rPr>
        <w:fldChar w:fldCharType="separate"/>
      </w:r>
      <w:r w:rsidR="00E17D28" w:rsidRPr="00E17D28">
        <w:rPr>
          <w:b/>
        </w:rPr>
        <w:t xml:space="preserve">Proposal </w:t>
      </w:r>
      <w:r w:rsidR="00E17D28" w:rsidRPr="00E17D28">
        <w:rPr>
          <w:b/>
          <w:noProof/>
        </w:rPr>
        <w:t>9</w:t>
      </w:r>
      <w:r w:rsidR="00E17D28" w:rsidRPr="00E17D28">
        <w:rPr>
          <w:b/>
        </w:rPr>
        <w:t>: When gNB configures the UE to report the CGI for a PCI on a given SSB frequency not on a sync raster point, UE reads MIB to determine the CORESET#0 and Type0-PDCCH search configuration for RMSI acquisition.</w:t>
      </w:r>
      <w:r w:rsidRPr="00B8604E">
        <w:rPr>
          <w:b/>
          <w:lang w:val="en-GB" w:eastAsia="zh-CN"/>
        </w:rPr>
        <w:fldChar w:fldCharType="end"/>
      </w:r>
    </w:p>
    <w:p w:rsidR="00830327" w:rsidRPr="00AF360F" w:rsidRDefault="00830327" w:rsidP="00B85260">
      <w:pPr>
        <w:pStyle w:val="Heading1"/>
        <w:jc w:val="both"/>
        <w:rPr>
          <w:lang w:eastAsia="zh-CN"/>
        </w:rPr>
      </w:pPr>
      <w:r>
        <w:rPr>
          <w:lang w:eastAsia="zh-CN"/>
        </w:rPr>
        <w:t>Reference</w:t>
      </w:r>
      <w:r w:rsidR="00F84C6E">
        <w:rPr>
          <w:lang w:eastAsia="zh-CN"/>
        </w:rPr>
        <w:t>s</w:t>
      </w:r>
    </w:p>
    <w:p w:rsidR="00350232" w:rsidRDefault="00350232" w:rsidP="00350232">
      <w:pPr>
        <w:numPr>
          <w:ilvl w:val="0"/>
          <w:numId w:val="35"/>
        </w:numPr>
        <w:overflowPunct/>
        <w:autoSpaceDE/>
        <w:autoSpaceDN/>
        <w:adjustRightInd/>
        <w:spacing w:after="120"/>
        <w:textAlignment w:val="auto"/>
      </w:pPr>
      <w:bookmarkStart w:id="17" w:name="_Ref528853922"/>
      <w:bookmarkStart w:id="18" w:name="_Ref481596356"/>
      <w:bookmarkStart w:id="19" w:name="_Ref481781528"/>
      <w:bookmarkStart w:id="20" w:name="_Ref481782557"/>
      <w:bookmarkStart w:id="21" w:name="_Ref534984474"/>
      <w:r>
        <w:t>TR 38.889, “Study on NR-based Access to Unlicensed Spectrum”, December 2018, V 1.1.0.</w:t>
      </w:r>
      <w:bookmarkEnd w:id="21"/>
    </w:p>
    <w:p w:rsidR="00350232" w:rsidRDefault="00350232" w:rsidP="00350232">
      <w:pPr>
        <w:numPr>
          <w:ilvl w:val="0"/>
          <w:numId w:val="35"/>
        </w:numPr>
        <w:overflowPunct/>
        <w:autoSpaceDE/>
        <w:autoSpaceDN/>
        <w:adjustRightInd/>
        <w:spacing w:after="120"/>
        <w:textAlignment w:val="auto"/>
      </w:pPr>
      <w:bookmarkStart w:id="22" w:name="_Ref528932384"/>
      <w:bookmarkEnd w:id="17"/>
      <w:r>
        <w:t>R1-1812360, “</w:t>
      </w:r>
      <w:r w:rsidRPr="00D0537F">
        <w:t>Evaluation Methodology for UE Power Saving</w:t>
      </w:r>
      <w:r>
        <w:t>”, MediaTek Inc.</w:t>
      </w:r>
      <w:bookmarkEnd w:id="18"/>
      <w:bookmarkEnd w:id="19"/>
      <w:bookmarkEnd w:id="20"/>
      <w:bookmarkEnd w:id="22"/>
    </w:p>
    <w:sectPr w:rsidR="00350232" w:rsidSect="0054620D">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43D" w:rsidRDefault="0098543D">
      <w:r>
        <w:separator/>
      </w:r>
    </w:p>
  </w:endnote>
  <w:endnote w:type="continuationSeparator" w:id="0">
    <w:p w:rsidR="0098543D" w:rsidRDefault="0098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0859491"/>
      <w:docPartObj>
        <w:docPartGallery w:val="Page Numbers (Bottom of Page)"/>
        <w:docPartUnique/>
      </w:docPartObj>
    </w:sdtPr>
    <w:sdtEndPr/>
    <w:sdtContent>
      <w:sdt>
        <w:sdtPr>
          <w:id w:val="-1705238520"/>
          <w:docPartObj>
            <w:docPartGallery w:val="Page Numbers (Top of Page)"/>
            <w:docPartUnique/>
          </w:docPartObj>
        </w:sdtPr>
        <w:sdtEndPr/>
        <w:sdtContent>
          <w:p w:rsidR="003C01E6" w:rsidRDefault="003C01E6">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E17D28">
              <w:rPr>
                <w:bCs/>
              </w:rPr>
              <w:t>5</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E17D28">
              <w:rPr>
                <w:bCs/>
              </w:rPr>
              <w:t>6</w:t>
            </w:r>
            <w:r>
              <w:rPr>
                <w:b w:val="0"/>
                <w:bCs/>
                <w:sz w:val="24"/>
                <w:szCs w:val="24"/>
              </w:rPr>
              <w:fldChar w:fldCharType="end"/>
            </w:r>
          </w:p>
        </w:sdtContent>
      </w:sdt>
    </w:sdtContent>
  </w:sdt>
  <w:p w:rsidR="00316AB5" w:rsidRDefault="00316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43D" w:rsidRDefault="0098543D">
      <w:r>
        <w:separator/>
      </w:r>
    </w:p>
  </w:footnote>
  <w:footnote w:type="continuationSeparator" w:id="0">
    <w:p w:rsidR="0098543D" w:rsidRDefault="009854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6E54"/>
    <w:multiLevelType w:val="hybridMultilevel"/>
    <w:tmpl w:val="58AA01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00FE7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F253E58"/>
    <w:multiLevelType w:val="hybridMultilevel"/>
    <w:tmpl w:val="C942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B04EE"/>
    <w:multiLevelType w:val="hybridMultilevel"/>
    <w:tmpl w:val="BA6EC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BB590A"/>
    <w:multiLevelType w:val="hybridMultilevel"/>
    <w:tmpl w:val="1E38D6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1A026772"/>
    <w:multiLevelType w:val="hybridMultilevel"/>
    <w:tmpl w:val="5FB0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185967"/>
    <w:multiLevelType w:val="multilevel"/>
    <w:tmpl w:val="46EC46F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A11A3"/>
    <w:multiLevelType w:val="hybridMultilevel"/>
    <w:tmpl w:val="987C4A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D7115BD"/>
    <w:multiLevelType w:val="hybridMultilevel"/>
    <w:tmpl w:val="FC90E7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0C660C"/>
    <w:multiLevelType w:val="hybridMultilevel"/>
    <w:tmpl w:val="42D8E79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105675"/>
    <w:multiLevelType w:val="hybridMultilevel"/>
    <w:tmpl w:val="3F20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542022"/>
    <w:multiLevelType w:val="hybridMultilevel"/>
    <w:tmpl w:val="D7767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2E3BDD"/>
    <w:multiLevelType w:val="hybridMultilevel"/>
    <w:tmpl w:val="99E4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FA4A39"/>
    <w:multiLevelType w:val="hybridMultilevel"/>
    <w:tmpl w:val="4126B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BD350D"/>
    <w:multiLevelType w:val="hybridMultilevel"/>
    <w:tmpl w:val="C01096A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49231797"/>
    <w:multiLevelType w:val="hybridMultilevel"/>
    <w:tmpl w:val="5A8867A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1"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3F173B"/>
    <w:multiLevelType w:val="hybridMultilevel"/>
    <w:tmpl w:val="CC0EB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97183"/>
    <w:multiLevelType w:val="hybridMultilevel"/>
    <w:tmpl w:val="EC8C7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9C1ADB"/>
    <w:multiLevelType w:val="hybridMultilevel"/>
    <w:tmpl w:val="16D0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8E869DF"/>
    <w:multiLevelType w:val="hybridMultilevel"/>
    <w:tmpl w:val="A0A8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704AF"/>
    <w:multiLevelType w:val="hybridMultilevel"/>
    <w:tmpl w:val="A106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E71E7"/>
    <w:multiLevelType w:val="hybridMultilevel"/>
    <w:tmpl w:val="03342A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E2505C"/>
    <w:multiLevelType w:val="hybridMultilevel"/>
    <w:tmpl w:val="3B1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5"/>
  </w:num>
  <w:num w:numId="3">
    <w:abstractNumId w:val="46"/>
  </w:num>
  <w:num w:numId="4">
    <w:abstractNumId w:val="47"/>
  </w:num>
  <w:num w:numId="5">
    <w:abstractNumId w:val="2"/>
  </w:num>
  <w:num w:numId="6">
    <w:abstractNumId w:val="28"/>
  </w:num>
  <w:num w:numId="7">
    <w:abstractNumId w:val="31"/>
  </w:num>
  <w:num w:numId="8">
    <w:abstractNumId w:val="3"/>
  </w:num>
  <w:num w:numId="9">
    <w:abstractNumId w:val="11"/>
  </w:num>
  <w:num w:numId="10">
    <w:abstractNumId w:val="24"/>
  </w:num>
  <w:num w:numId="11">
    <w:abstractNumId w:val="15"/>
  </w:num>
  <w:num w:numId="12">
    <w:abstractNumId w:val="21"/>
  </w:num>
  <w:num w:numId="13">
    <w:abstractNumId w:val="40"/>
  </w:num>
  <w:num w:numId="14">
    <w:abstractNumId w:val="42"/>
  </w:num>
  <w:num w:numId="15">
    <w:abstractNumId w:val="12"/>
  </w:num>
  <w:num w:numId="16">
    <w:abstractNumId w:val="10"/>
  </w:num>
  <w:num w:numId="17">
    <w:abstractNumId w:val="32"/>
  </w:num>
  <w:num w:numId="18">
    <w:abstractNumId w:val="33"/>
  </w:num>
  <w:num w:numId="19">
    <w:abstractNumId w:val="9"/>
  </w:num>
  <w:num w:numId="20">
    <w:abstractNumId w:val="30"/>
  </w:num>
  <w:num w:numId="21">
    <w:abstractNumId w:val="0"/>
  </w:num>
  <w:num w:numId="22">
    <w:abstractNumId w:val="20"/>
  </w:num>
  <w:num w:numId="23">
    <w:abstractNumId w:val="34"/>
  </w:num>
  <w:num w:numId="24">
    <w:abstractNumId w:val="29"/>
  </w:num>
  <w:num w:numId="25">
    <w:abstractNumId w:val="41"/>
  </w:num>
  <w:num w:numId="26">
    <w:abstractNumId w:val="1"/>
  </w:num>
  <w:num w:numId="27">
    <w:abstractNumId w:val="17"/>
  </w:num>
  <w:num w:numId="28">
    <w:abstractNumId w:val="13"/>
  </w:num>
  <w:num w:numId="29">
    <w:abstractNumId w:val="6"/>
  </w:num>
  <w:num w:numId="30">
    <w:abstractNumId w:val="22"/>
  </w:num>
  <w:num w:numId="31">
    <w:abstractNumId w:val="8"/>
  </w:num>
  <w:num w:numId="32">
    <w:abstractNumId w:val="44"/>
  </w:num>
  <w:num w:numId="33">
    <w:abstractNumId w:val="45"/>
  </w:num>
  <w:num w:numId="34">
    <w:abstractNumId w:val="37"/>
  </w:num>
  <w:num w:numId="35">
    <w:abstractNumId w:val="18"/>
  </w:num>
  <w:num w:numId="36">
    <w:abstractNumId w:val="14"/>
  </w:num>
  <w:num w:numId="37">
    <w:abstractNumId w:val="43"/>
  </w:num>
  <w:num w:numId="38">
    <w:abstractNumId w:val="38"/>
  </w:num>
  <w:num w:numId="39">
    <w:abstractNumId w:val="36"/>
  </w:num>
  <w:num w:numId="40">
    <w:abstractNumId w:val="19"/>
  </w:num>
  <w:num w:numId="41">
    <w:abstractNumId w:val="35"/>
  </w:num>
  <w:num w:numId="42">
    <w:abstractNumId w:val="27"/>
  </w:num>
  <w:num w:numId="43">
    <w:abstractNumId w:val="23"/>
  </w:num>
  <w:num w:numId="44">
    <w:abstractNumId w:val="16"/>
  </w:num>
  <w:num w:numId="45">
    <w:abstractNumId w:val="4"/>
  </w:num>
  <w:num w:numId="46">
    <w:abstractNumId w:val="26"/>
  </w:num>
  <w:num w:numId="47">
    <w:abstractNumId w:val="39"/>
  </w:num>
  <w:num w:numId="48">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C0"/>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C"/>
    <w:rsid w:val="0001604D"/>
    <w:rsid w:val="000166C7"/>
    <w:rsid w:val="0001688F"/>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317"/>
    <w:rsid w:val="0003058F"/>
    <w:rsid w:val="00030EEF"/>
    <w:rsid w:val="00030FDE"/>
    <w:rsid w:val="0003122C"/>
    <w:rsid w:val="00031567"/>
    <w:rsid w:val="000316DD"/>
    <w:rsid w:val="000319EE"/>
    <w:rsid w:val="00031FF9"/>
    <w:rsid w:val="0003217E"/>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3E4"/>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0F"/>
    <w:rsid w:val="000504EB"/>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4D34"/>
    <w:rsid w:val="00055062"/>
    <w:rsid w:val="00055162"/>
    <w:rsid w:val="000552C6"/>
    <w:rsid w:val="00055816"/>
    <w:rsid w:val="00055B2F"/>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1B24"/>
    <w:rsid w:val="0006215C"/>
    <w:rsid w:val="000622D3"/>
    <w:rsid w:val="000625BF"/>
    <w:rsid w:val="0006276A"/>
    <w:rsid w:val="00062A3B"/>
    <w:rsid w:val="000632C3"/>
    <w:rsid w:val="00063B94"/>
    <w:rsid w:val="00063F93"/>
    <w:rsid w:val="00064173"/>
    <w:rsid w:val="000644EF"/>
    <w:rsid w:val="00064572"/>
    <w:rsid w:val="00064674"/>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EBA"/>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F74"/>
    <w:rsid w:val="0009106A"/>
    <w:rsid w:val="000910BF"/>
    <w:rsid w:val="000910F4"/>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8E"/>
    <w:rsid w:val="00094FA3"/>
    <w:rsid w:val="000950C5"/>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64"/>
    <w:rsid w:val="00097992"/>
    <w:rsid w:val="00097A6C"/>
    <w:rsid w:val="00097CA2"/>
    <w:rsid w:val="00097F7A"/>
    <w:rsid w:val="00097FD1"/>
    <w:rsid w:val="000A01BF"/>
    <w:rsid w:val="000A02A5"/>
    <w:rsid w:val="000A0440"/>
    <w:rsid w:val="000A05C9"/>
    <w:rsid w:val="000A07C5"/>
    <w:rsid w:val="000A092B"/>
    <w:rsid w:val="000A10EB"/>
    <w:rsid w:val="000A15B9"/>
    <w:rsid w:val="000A1E7B"/>
    <w:rsid w:val="000A21D8"/>
    <w:rsid w:val="000A2725"/>
    <w:rsid w:val="000A2D64"/>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AE"/>
    <w:rsid w:val="000A455A"/>
    <w:rsid w:val="000A477F"/>
    <w:rsid w:val="000A48CF"/>
    <w:rsid w:val="000A49BF"/>
    <w:rsid w:val="000A4AE3"/>
    <w:rsid w:val="000A4C5A"/>
    <w:rsid w:val="000A4DB5"/>
    <w:rsid w:val="000A4F59"/>
    <w:rsid w:val="000A4FFB"/>
    <w:rsid w:val="000A53F1"/>
    <w:rsid w:val="000A562D"/>
    <w:rsid w:val="000A58F0"/>
    <w:rsid w:val="000A689E"/>
    <w:rsid w:val="000A6A8D"/>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3FA1"/>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1053"/>
    <w:rsid w:val="000C1120"/>
    <w:rsid w:val="000C16BE"/>
    <w:rsid w:val="000C1743"/>
    <w:rsid w:val="000C1789"/>
    <w:rsid w:val="000C1CD0"/>
    <w:rsid w:val="000C1FCE"/>
    <w:rsid w:val="000C23E8"/>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6C"/>
    <w:rsid w:val="000D32E9"/>
    <w:rsid w:val="000D39B7"/>
    <w:rsid w:val="000D3A88"/>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41"/>
    <w:rsid w:val="000E02A8"/>
    <w:rsid w:val="000E02F8"/>
    <w:rsid w:val="000E07E6"/>
    <w:rsid w:val="000E0CA4"/>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456"/>
    <w:rsid w:val="000E263D"/>
    <w:rsid w:val="000E2B0F"/>
    <w:rsid w:val="000E2B5B"/>
    <w:rsid w:val="000E2F14"/>
    <w:rsid w:val="000E301C"/>
    <w:rsid w:val="000E332B"/>
    <w:rsid w:val="000E3347"/>
    <w:rsid w:val="000E3370"/>
    <w:rsid w:val="000E33B0"/>
    <w:rsid w:val="000E3457"/>
    <w:rsid w:val="000E36AD"/>
    <w:rsid w:val="000E3C6C"/>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10C"/>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2E00"/>
    <w:rsid w:val="000F30B8"/>
    <w:rsid w:val="000F383D"/>
    <w:rsid w:val="000F3F70"/>
    <w:rsid w:val="000F3FDD"/>
    <w:rsid w:val="000F405F"/>
    <w:rsid w:val="000F40A4"/>
    <w:rsid w:val="000F4151"/>
    <w:rsid w:val="000F446E"/>
    <w:rsid w:val="000F48E1"/>
    <w:rsid w:val="000F4A04"/>
    <w:rsid w:val="000F4EAA"/>
    <w:rsid w:val="000F5047"/>
    <w:rsid w:val="000F50FA"/>
    <w:rsid w:val="000F550A"/>
    <w:rsid w:val="000F59C0"/>
    <w:rsid w:val="000F5EE5"/>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06"/>
    <w:rsid w:val="00105D36"/>
    <w:rsid w:val="00105E3E"/>
    <w:rsid w:val="0010634F"/>
    <w:rsid w:val="00106509"/>
    <w:rsid w:val="00106657"/>
    <w:rsid w:val="00106BB1"/>
    <w:rsid w:val="00106C56"/>
    <w:rsid w:val="00107113"/>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650"/>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0BD1"/>
    <w:rsid w:val="001210BE"/>
    <w:rsid w:val="00121432"/>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124"/>
    <w:rsid w:val="0012785D"/>
    <w:rsid w:val="00127E80"/>
    <w:rsid w:val="0013006A"/>
    <w:rsid w:val="0013068C"/>
    <w:rsid w:val="0013091C"/>
    <w:rsid w:val="00130C48"/>
    <w:rsid w:val="00130C8A"/>
    <w:rsid w:val="00130D29"/>
    <w:rsid w:val="00130F76"/>
    <w:rsid w:val="0013114C"/>
    <w:rsid w:val="00131157"/>
    <w:rsid w:val="001312D1"/>
    <w:rsid w:val="00131565"/>
    <w:rsid w:val="0013156C"/>
    <w:rsid w:val="001317DE"/>
    <w:rsid w:val="00131814"/>
    <w:rsid w:val="00131A86"/>
    <w:rsid w:val="00131C81"/>
    <w:rsid w:val="00131CF2"/>
    <w:rsid w:val="00131EA5"/>
    <w:rsid w:val="0013204A"/>
    <w:rsid w:val="0013236D"/>
    <w:rsid w:val="00132480"/>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94F"/>
    <w:rsid w:val="00135B09"/>
    <w:rsid w:val="00135B2C"/>
    <w:rsid w:val="00136340"/>
    <w:rsid w:val="001364D5"/>
    <w:rsid w:val="0013680E"/>
    <w:rsid w:val="0013686E"/>
    <w:rsid w:val="00136AFB"/>
    <w:rsid w:val="00136FD2"/>
    <w:rsid w:val="001375B9"/>
    <w:rsid w:val="00137B99"/>
    <w:rsid w:val="00137E1A"/>
    <w:rsid w:val="00137EBD"/>
    <w:rsid w:val="00140179"/>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126"/>
    <w:rsid w:val="0015526C"/>
    <w:rsid w:val="00155679"/>
    <w:rsid w:val="00155A86"/>
    <w:rsid w:val="00155D5C"/>
    <w:rsid w:val="00155F19"/>
    <w:rsid w:val="00155F1C"/>
    <w:rsid w:val="001560C7"/>
    <w:rsid w:val="0015641F"/>
    <w:rsid w:val="001564C3"/>
    <w:rsid w:val="001565B9"/>
    <w:rsid w:val="0015661A"/>
    <w:rsid w:val="00156B93"/>
    <w:rsid w:val="00156D9F"/>
    <w:rsid w:val="00156E35"/>
    <w:rsid w:val="00156EE5"/>
    <w:rsid w:val="00156FFA"/>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18DF"/>
    <w:rsid w:val="0016244C"/>
    <w:rsid w:val="001625FE"/>
    <w:rsid w:val="0016271A"/>
    <w:rsid w:val="0016276E"/>
    <w:rsid w:val="00162CB7"/>
    <w:rsid w:val="00162F81"/>
    <w:rsid w:val="0016335C"/>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227"/>
    <w:rsid w:val="00166925"/>
    <w:rsid w:val="00166C83"/>
    <w:rsid w:val="00166ED1"/>
    <w:rsid w:val="00167466"/>
    <w:rsid w:val="00167915"/>
    <w:rsid w:val="001679FD"/>
    <w:rsid w:val="00167BA5"/>
    <w:rsid w:val="00167F21"/>
    <w:rsid w:val="00167FB9"/>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199"/>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FE1"/>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765"/>
    <w:rsid w:val="00192868"/>
    <w:rsid w:val="00192873"/>
    <w:rsid w:val="00192881"/>
    <w:rsid w:val="00192942"/>
    <w:rsid w:val="00192C6B"/>
    <w:rsid w:val="00193539"/>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4BB7"/>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CF6"/>
    <w:rsid w:val="001B3D7B"/>
    <w:rsid w:val="001B3E18"/>
    <w:rsid w:val="001B3F42"/>
    <w:rsid w:val="001B415E"/>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927"/>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6A0"/>
    <w:rsid w:val="001F47B3"/>
    <w:rsid w:val="001F4AED"/>
    <w:rsid w:val="001F4C55"/>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A14"/>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807"/>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BD8"/>
    <w:rsid w:val="00242F17"/>
    <w:rsid w:val="002430EC"/>
    <w:rsid w:val="0024335F"/>
    <w:rsid w:val="002434AF"/>
    <w:rsid w:val="002436BC"/>
    <w:rsid w:val="002439D2"/>
    <w:rsid w:val="00243BC1"/>
    <w:rsid w:val="00243CAA"/>
    <w:rsid w:val="002440A9"/>
    <w:rsid w:val="002441B2"/>
    <w:rsid w:val="002442FB"/>
    <w:rsid w:val="00244332"/>
    <w:rsid w:val="002443EC"/>
    <w:rsid w:val="00244437"/>
    <w:rsid w:val="00244653"/>
    <w:rsid w:val="002447E0"/>
    <w:rsid w:val="002447E8"/>
    <w:rsid w:val="00244A27"/>
    <w:rsid w:val="00244A72"/>
    <w:rsid w:val="00244EFE"/>
    <w:rsid w:val="00245492"/>
    <w:rsid w:val="00245B23"/>
    <w:rsid w:val="00245DF3"/>
    <w:rsid w:val="00245E82"/>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93D"/>
    <w:rsid w:val="00252CA8"/>
    <w:rsid w:val="00252FD0"/>
    <w:rsid w:val="002530B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5A0"/>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502F"/>
    <w:rsid w:val="00285041"/>
    <w:rsid w:val="002851BA"/>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2F16"/>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67"/>
    <w:rsid w:val="00297707"/>
    <w:rsid w:val="00297A0D"/>
    <w:rsid w:val="00297A8D"/>
    <w:rsid w:val="00297BF2"/>
    <w:rsid w:val="00297EAF"/>
    <w:rsid w:val="00297EB7"/>
    <w:rsid w:val="00297F9B"/>
    <w:rsid w:val="002A0158"/>
    <w:rsid w:val="002A03B4"/>
    <w:rsid w:val="002A0544"/>
    <w:rsid w:val="002A0D8A"/>
    <w:rsid w:val="002A16BB"/>
    <w:rsid w:val="002A1857"/>
    <w:rsid w:val="002A19B4"/>
    <w:rsid w:val="002A1AAF"/>
    <w:rsid w:val="002A23CD"/>
    <w:rsid w:val="002A3079"/>
    <w:rsid w:val="002A3462"/>
    <w:rsid w:val="002A349C"/>
    <w:rsid w:val="002A36EC"/>
    <w:rsid w:val="002A370A"/>
    <w:rsid w:val="002A37B3"/>
    <w:rsid w:val="002A3811"/>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4ACC"/>
    <w:rsid w:val="002B5338"/>
    <w:rsid w:val="002B5471"/>
    <w:rsid w:val="002B565A"/>
    <w:rsid w:val="002B59FE"/>
    <w:rsid w:val="002B5A46"/>
    <w:rsid w:val="002B5A6B"/>
    <w:rsid w:val="002B5AC0"/>
    <w:rsid w:val="002B5C78"/>
    <w:rsid w:val="002B5CBC"/>
    <w:rsid w:val="002B5DBA"/>
    <w:rsid w:val="002B689A"/>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90C"/>
    <w:rsid w:val="002C1AB9"/>
    <w:rsid w:val="002C1B89"/>
    <w:rsid w:val="002C1D43"/>
    <w:rsid w:val="002C1E66"/>
    <w:rsid w:val="002C24E5"/>
    <w:rsid w:val="002C2503"/>
    <w:rsid w:val="002C25AE"/>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0F9"/>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5F1"/>
    <w:rsid w:val="002E7736"/>
    <w:rsid w:val="002E7877"/>
    <w:rsid w:val="002E7BD2"/>
    <w:rsid w:val="002F0221"/>
    <w:rsid w:val="002F03BC"/>
    <w:rsid w:val="002F0980"/>
    <w:rsid w:val="002F09C2"/>
    <w:rsid w:val="002F0BD2"/>
    <w:rsid w:val="002F0C72"/>
    <w:rsid w:val="002F0CC9"/>
    <w:rsid w:val="002F12DE"/>
    <w:rsid w:val="002F15C1"/>
    <w:rsid w:val="002F173A"/>
    <w:rsid w:val="002F1827"/>
    <w:rsid w:val="002F190A"/>
    <w:rsid w:val="002F1968"/>
    <w:rsid w:val="002F1E63"/>
    <w:rsid w:val="002F2217"/>
    <w:rsid w:val="002F2261"/>
    <w:rsid w:val="002F2834"/>
    <w:rsid w:val="002F2840"/>
    <w:rsid w:val="002F2872"/>
    <w:rsid w:val="002F2922"/>
    <w:rsid w:val="002F2BDD"/>
    <w:rsid w:val="002F2CD6"/>
    <w:rsid w:val="002F2EA1"/>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91"/>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B3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232"/>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90A"/>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C1"/>
    <w:rsid w:val="003643D7"/>
    <w:rsid w:val="00364479"/>
    <w:rsid w:val="00364493"/>
    <w:rsid w:val="003644B1"/>
    <w:rsid w:val="00364D2E"/>
    <w:rsid w:val="0036569F"/>
    <w:rsid w:val="0036594F"/>
    <w:rsid w:val="0036595F"/>
    <w:rsid w:val="00365F32"/>
    <w:rsid w:val="00366192"/>
    <w:rsid w:val="0036643A"/>
    <w:rsid w:val="00366544"/>
    <w:rsid w:val="00366880"/>
    <w:rsid w:val="00366A1A"/>
    <w:rsid w:val="00366AEA"/>
    <w:rsid w:val="00366DC7"/>
    <w:rsid w:val="00366F83"/>
    <w:rsid w:val="00366FA1"/>
    <w:rsid w:val="003672E0"/>
    <w:rsid w:val="00367569"/>
    <w:rsid w:val="00367757"/>
    <w:rsid w:val="003677B1"/>
    <w:rsid w:val="00367D6B"/>
    <w:rsid w:val="0037004C"/>
    <w:rsid w:val="003701FA"/>
    <w:rsid w:val="003703CB"/>
    <w:rsid w:val="003705DC"/>
    <w:rsid w:val="003707CC"/>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4A0"/>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75"/>
    <w:rsid w:val="003811C1"/>
    <w:rsid w:val="0038143D"/>
    <w:rsid w:val="0038145F"/>
    <w:rsid w:val="00381869"/>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C3B"/>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22"/>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8E4"/>
    <w:rsid w:val="00396BC4"/>
    <w:rsid w:val="00396DD9"/>
    <w:rsid w:val="003A0084"/>
    <w:rsid w:val="003A09F1"/>
    <w:rsid w:val="003A0D45"/>
    <w:rsid w:val="003A0DD3"/>
    <w:rsid w:val="003A0F7C"/>
    <w:rsid w:val="003A135C"/>
    <w:rsid w:val="003A1364"/>
    <w:rsid w:val="003A14BF"/>
    <w:rsid w:val="003A198C"/>
    <w:rsid w:val="003A1B1D"/>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B4B"/>
    <w:rsid w:val="003B4D74"/>
    <w:rsid w:val="003B4F86"/>
    <w:rsid w:val="003B5800"/>
    <w:rsid w:val="003B5824"/>
    <w:rsid w:val="003B586D"/>
    <w:rsid w:val="003B59E5"/>
    <w:rsid w:val="003B6399"/>
    <w:rsid w:val="003B6C09"/>
    <w:rsid w:val="003B7837"/>
    <w:rsid w:val="003B7BF6"/>
    <w:rsid w:val="003B7C7F"/>
    <w:rsid w:val="003C01E6"/>
    <w:rsid w:val="003C05EB"/>
    <w:rsid w:val="003C1019"/>
    <w:rsid w:val="003C1312"/>
    <w:rsid w:val="003C1972"/>
    <w:rsid w:val="003C1981"/>
    <w:rsid w:val="003C1BE2"/>
    <w:rsid w:val="003C1C88"/>
    <w:rsid w:val="003C2066"/>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72"/>
    <w:rsid w:val="003E5EA0"/>
    <w:rsid w:val="003E5F3C"/>
    <w:rsid w:val="003E5FD6"/>
    <w:rsid w:val="003E61A6"/>
    <w:rsid w:val="003E62DD"/>
    <w:rsid w:val="003E64F0"/>
    <w:rsid w:val="003E6759"/>
    <w:rsid w:val="003E69F6"/>
    <w:rsid w:val="003E6C2A"/>
    <w:rsid w:val="003E71D0"/>
    <w:rsid w:val="003E78F3"/>
    <w:rsid w:val="003E7C18"/>
    <w:rsid w:val="003E7F9C"/>
    <w:rsid w:val="003F0053"/>
    <w:rsid w:val="003F016F"/>
    <w:rsid w:val="003F0215"/>
    <w:rsid w:val="003F0727"/>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D8"/>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0DAE"/>
    <w:rsid w:val="0042133E"/>
    <w:rsid w:val="0042173B"/>
    <w:rsid w:val="00421A42"/>
    <w:rsid w:val="00421BE5"/>
    <w:rsid w:val="00421DA2"/>
    <w:rsid w:val="00421E8E"/>
    <w:rsid w:val="00421EAB"/>
    <w:rsid w:val="00422407"/>
    <w:rsid w:val="00422C3C"/>
    <w:rsid w:val="00422F97"/>
    <w:rsid w:val="0042341B"/>
    <w:rsid w:val="00423772"/>
    <w:rsid w:val="00423779"/>
    <w:rsid w:val="004237B2"/>
    <w:rsid w:val="00423888"/>
    <w:rsid w:val="00423AAA"/>
    <w:rsid w:val="00423E8A"/>
    <w:rsid w:val="00423EDC"/>
    <w:rsid w:val="004240F5"/>
    <w:rsid w:val="00424102"/>
    <w:rsid w:val="004243AF"/>
    <w:rsid w:val="00424423"/>
    <w:rsid w:val="004244F0"/>
    <w:rsid w:val="00424612"/>
    <w:rsid w:val="0042516C"/>
    <w:rsid w:val="004258AE"/>
    <w:rsid w:val="00425926"/>
    <w:rsid w:val="004259CC"/>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C44"/>
    <w:rsid w:val="00446D17"/>
    <w:rsid w:val="004470A0"/>
    <w:rsid w:val="00447643"/>
    <w:rsid w:val="0044768A"/>
    <w:rsid w:val="004476D2"/>
    <w:rsid w:val="00447904"/>
    <w:rsid w:val="00447981"/>
    <w:rsid w:val="00447CA0"/>
    <w:rsid w:val="00447DCE"/>
    <w:rsid w:val="00447DEE"/>
    <w:rsid w:val="004509C8"/>
    <w:rsid w:val="00450C96"/>
    <w:rsid w:val="004514FF"/>
    <w:rsid w:val="00451A26"/>
    <w:rsid w:val="00451C14"/>
    <w:rsid w:val="00451C3F"/>
    <w:rsid w:val="004521D1"/>
    <w:rsid w:val="00452292"/>
    <w:rsid w:val="0045232A"/>
    <w:rsid w:val="004525F2"/>
    <w:rsid w:val="00452796"/>
    <w:rsid w:val="004529B6"/>
    <w:rsid w:val="00452AF6"/>
    <w:rsid w:val="004533FD"/>
    <w:rsid w:val="00453449"/>
    <w:rsid w:val="0045374D"/>
    <w:rsid w:val="00453767"/>
    <w:rsid w:val="00453897"/>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BFF"/>
    <w:rsid w:val="00457D9B"/>
    <w:rsid w:val="00457F0C"/>
    <w:rsid w:val="0046037F"/>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FC"/>
    <w:rsid w:val="0047550E"/>
    <w:rsid w:val="00475754"/>
    <w:rsid w:val="00475957"/>
    <w:rsid w:val="00475F69"/>
    <w:rsid w:val="00475FA8"/>
    <w:rsid w:val="004761B3"/>
    <w:rsid w:val="004763DE"/>
    <w:rsid w:val="00476913"/>
    <w:rsid w:val="00476B85"/>
    <w:rsid w:val="00476CE0"/>
    <w:rsid w:val="00476DEC"/>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038"/>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6A6"/>
    <w:rsid w:val="0049682F"/>
    <w:rsid w:val="0049697F"/>
    <w:rsid w:val="00496A9B"/>
    <w:rsid w:val="00496F04"/>
    <w:rsid w:val="004971B7"/>
    <w:rsid w:val="004971DF"/>
    <w:rsid w:val="004A0057"/>
    <w:rsid w:val="004A0083"/>
    <w:rsid w:val="004A0133"/>
    <w:rsid w:val="004A053A"/>
    <w:rsid w:val="004A057E"/>
    <w:rsid w:val="004A0BDA"/>
    <w:rsid w:val="004A0DB3"/>
    <w:rsid w:val="004A0ECB"/>
    <w:rsid w:val="004A0FF9"/>
    <w:rsid w:val="004A11C3"/>
    <w:rsid w:val="004A17E7"/>
    <w:rsid w:val="004A1824"/>
    <w:rsid w:val="004A1A15"/>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D5C"/>
    <w:rsid w:val="004C6E25"/>
    <w:rsid w:val="004C702B"/>
    <w:rsid w:val="004C713E"/>
    <w:rsid w:val="004C72E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B87"/>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92"/>
    <w:rsid w:val="004E2BD0"/>
    <w:rsid w:val="004E328C"/>
    <w:rsid w:val="004E3718"/>
    <w:rsid w:val="004E389A"/>
    <w:rsid w:val="004E39CE"/>
    <w:rsid w:val="004E3B09"/>
    <w:rsid w:val="004E3D72"/>
    <w:rsid w:val="004E3E13"/>
    <w:rsid w:val="004E3EF0"/>
    <w:rsid w:val="004E4A16"/>
    <w:rsid w:val="004E4A99"/>
    <w:rsid w:val="004E4E56"/>
    <w:rsid w:val="004E51CE"/>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6AA"/>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278"/>
    <w:rsid w:val="005133EB"/>
    <w:rsid w:val="005136D1"/>
    <w:rsid w:val="0051371E"/>
    <w:rsid w:val="005137E7"/>
    <w:rsid w:val="0051385E"/>
    <w:rsid w:val="00513A46"/>
    <w:rsid w:val="00513A69"/>
    <w:rsid w:val="00513A92"/>
    <w:rsid w:val="00513E40"/>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3FF"/>
    <w:rsid w:val="005414AE"/>
    <w:rsid w:val="00541702"/>
    <w:rsid w:val="00541924"/>
    <w:rsid w:val="00541935"/>
    <w:rsid w:val="00541CEE"/>
    <w:rsid w:val="00541D8C"/>
    <w:rsid w:val="00541F95"/>
    <w:rsid w:val="00541FE2"/>
    <w:rsid w:val="005423A1"/>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5C66"/>
    <w:rsid w:val="00555D27"/>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225"/>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3ECC"/>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48C"/>
    <w:rsid w:val="005A156E"/>
    <w:rsid w:val="005A1B1E"/>
    <w:rsid w:val="005A1C26"/>
    <w:rsid w:val="005A1C29"/>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E34"/>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656"/>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BA"/>
    <w:rsid w:val="005D5DA5"/>
    <w:rsid w:val="005D5EF7"/>
    <w:rsid w:val="005D5EFF"/>
    <w:rsid w:val="005D6385"/>
    <w:rsid w:val="005D65DE"/>
    <w:rsid w:val="005D6F2D"/>
    <w:rsid w:val="005D7324"/>
    <w:rsid w:val="005D7376"/>
    <w:rsid w:val="005D7473"/>
    <w:rsid w:val="005D7790"/>
    <w:rsid w:val="005D7F8A"/>
    <w:rsid w:val="005E0079"/>
    <w:rsid w:val="005E02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72E"/>
    <w:rsid w:val="005F1908"/>
    <w:rsid w:val="005F19CD"/>
    <w:rsid w:val="005F2084"/>
    <w:rsid w:val="005F2256"/>
    <w:rsid w:val="005F24D8"/>
    <w:rsid w:val="005F2661"/>
    <w:rsid w:val="005F2A91"/>
    <w:rsid w:val="005F2CF1"/>
    <w:rsid w:val="005F2D73"/>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090"/>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0E6"/>
    <w:rsid w:val="00613103"/>
    <w:rsid w:val="00613399"/>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0AC"/>
    <w:rsid w:val="006161BC"/>
    <w:rsid w:val="0061625D"/>
    <w:rsid w:val="0061630F"/>
    <w:rsid w:val="00616328"/>
    <w:rsid w:val="006163A3"/>
    <w:rsid w:val="006165FC"/>
    <w:rsid w:val="00616888"/>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BAF"/>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BB4"/>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33E"/>
    <w:rsid w:val="00642432"/>
    <w:rsid w:val="006424C6"/>
    <w:rsid w:val="0064259C"/>
    <w:rsid w:val="006428A3"/>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3DF4"/>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65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9F8"/>
    <w:rsid w:val="00673A20"/>
    <w:rsid w:val="00673ACA"/>
    <w:rsid w:val="00673B4E"/>
    <w:rsid w:val="00673E6D"/>
    <w:rsid w:val="00673F38"/>
    <w:rsid w:val="00673F6B"/>
    <w:rsid w:val="0067453C"/>
    <w:rsid w:val="0067481A"/>
    <w:rsid w:val="006749A2"/>
    <w:rsid w:val="00674A87"/>
    <w:rsid w:val="00674B90"/>
    <w:rsid w:val="006751B4"/>
    <w:rsid w:val="006752A7"/>
    <w:rsid w:val="006758F1"/>
    <w:rsid w:val="00675A0A"/>
    <w:rsid w:val="00675B6E"/>
    <w:rsid w:val="006765FF"/>
    <w:rsid w:val="00676B69"/>
    <w:rsid w:val="00676D93"/>
    <w:rsid w:val="00676DC3"/>
    <w:rsid w:val="00677466"/>
    <w:rsid w:val="006775CA"/>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112F"/>
    <w:rsid w:val="006B12DE"/>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739"/>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C8A"/>
    <w:rsid w:val="006D4D64"/>
    <w:rsid w:val="006D4D69"/>
    <w:rsid w:val="006D4EBD"/>
    <w:rsid w:val="006D503A"/>
    <w:rsid w:val="006D5122"/>
    <w:rsid w:val="006D53AC"/>
    <w:rsid w:val="006D552E"/>
    <w:rsid w:val="006D5732"/>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713"/>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7269"/>
    <w:rsid w:val="006E7432"/>
    <w:rsid w:val="006E754C"/>
    <w:rsid w:val="006E7568"/>
    <w:rsid w:val="006E7631"/>
    <w:rsid w:val="006E779C"/>
    <w:rsid w:val="006E79B2"/>
    <w:rsid w:val="006E7A1A"/>
    <w:rsid w:val="006E7A61"/>
    <w:rsid w:val="006E7DA5"/>
    <w:rsid w:val="006F032E"/>
    <w:rsid w:val="006F0342"/>
    <w:rsid w:val="006F0476"/>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167"/>
    <w:rsid w:val="006F2386"/>
    <w:rsid w:val="006F2565"/>
    <w:rsid w:val="006F288B"/>
    <w:rsid w:val="006F289F"/>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138A"/>
    <w:rsid w:val="007018DF"/>
    <w:rsid w:val="007018E5"/>
    <w:rsid w:val="00701ACD"/>
    <w:rsid w:val="00701B31"/>
    <w:rsid w:val="00701DC6"/>
    <w:rsid w:val="00702013"/>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7A"/>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1E00"/>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1C"/>
    <w:rsid w:val="00742B21"/>
    <w:rsid w:val="00742E00"/>
    <w:rsid w:val="00742E69"/>
    <w:rsid w:val="00742E70"/>
    <w:rsid w:val="007430F7"/>
    <w:rsid w:val="007433E0"/>
    <w:rsid w:val="0074377F"/>
    <w:rsid w:val="00743EDC"/>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E3"/>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5FD"/>
    <w:rsid w:val="007756B1"/>
    <w:rsid w:val="007757D2"/>
    <w:rsid w:val="00775C1D"/>
    <w:rsid w:val="00775D10"/>
    <w:rsid w:val="00776475"/>
    <w:rsid w:val="007764BF"/>
    <w:rsid w:val="007768F3"/>
    <w:rsid w:val="00776B4A"/>
    <w:rsid w:val="00776B60"/>
    <w:rsid w:val="00776BFA"/>
    <w:rsid w:val="00776D40"/>
    <w:rsid w:val="00776D92"/>
    <w:rsid w:val="00776EDA"/>
    <w:rsid w:val="00777130"/>
    <w:rsid w:val="007778C7"/>
    <w:rsid w:val="007778F6"/>
    <w:rsid w:val="007779A8"/>
    <w:rsid w:val="00777B8D"/>
    <w:rsid w:val="00777E07"/>
    <w:rsid w:val="00777F4C"/>
    <w:rsid w:val="0078010E"/>
    <w:rsid w:val="007806CB"/>
    <w:rsid w:val="007808C1"/>
    <w:rsid w:val="00780B3C"/>
    <w:rsid w:val="007812E2"/>
    <w:rsid w:val="00781BFB"/>
    <w:rsid w:val="00781C31"/>
    <w:rsid w:val="00781E5B"/>
    <w:rsid w:val="00781F02"/>
    <w:rsid w:val="00782038"/>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34"/>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755"/>
    <w:rsid w:val="007B4852"/>
    <w:rsid w:val="007B49F3"/>
    <w:rsid w:val="007B4A33"/>
    <w:rsid w:val="007B4BCD"/>
    <w:rsid w:val="007B4C00"/>
    <w:rsid w:val="007B512A"/>
    <w:rsid w:val="007B5649"/>
    <w:rsid w:val="007B5967"/>
    <w:rsid w:val="007B5C8F"/>
    <w:rsid w:val="007B5CF5"/>
    <w:rsid w:val="007B5DA7"/>
    <w:rsid w:val="007B6720"/>
    <w:rsid w:val="007B68E5"/>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43C"/>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6802"/>
    <w:rsid w:val="007C6817"/>
    <w:rsid w:val="007C68D8"/>
    <w:rsid w:val="007C6904"/>
    <w:rsid w:val="007C6ADB"/>
    <w:rsid w:val="007C6B55"/>
    <w:rsid w:val="007C722F"/>
    <w:rsid w:val="007C773A"/>
    <w:rsid w:val="007C774A"/>
    <w:rsid w:val="007C7B6E"/>
    <w:rsid w:val="007C7DB3"/>
    <w:rsid w:val="007D083E"/>
    <w:rsid w:val="007D09A5"/>
    <w:rsid w:val="007D10FB"/>
    <w:rsid w:val="007D1453"/>
    <w:rsid w:val="007D1671"/>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F69"/>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3F25"/>
    <w:rsid w:val="00804008"/>
    <w:rsid w:val="008044B5"/>
    <w:rsid w:val="0080487B"/>
    <w:rsid w:val="00804A7D"/>
    <w:rsid w:val="008050A0"/>
    <w:rsid w:val="00805611"/>
    <w:rsid w:val="00805859"/>
    <w:rsid w:val="00805B01"/>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75B"/>
    <w:rsid w:val="00810CCB"/>
    <w:rsid w:val="00810DC4"/>
    <w:rsid w:val="008115FC"/>
    <w:rsid w:val="008117CD"/>
    <w:rsid w:val="008118D8"/>
    <w:rsid w:val="00811979"/>
    <w:rsid w:val="008119D8"/>
    <w:rsid w:val="00811A46"/>
    <w:rsid w:val="00811A55"/>
    <w:rsid w:val="00811C31"/>
    <w:rsid w:val="00811C51"/>
    <w:rsid w:val="00811EB2"/>
    <w:rsid w:val="00811F00"/>
    <w:rsid w:val="00811FC9"/>
    <w:rsid w:val="0081272D"/>
    <w:rsid w:val="00812841"/>
    <w:rsid w:val="008129E3"/>
    <w:rsid w:val="00812D17"/>
    <w:rsid w:val="00812EAB"/>
    <w:rsid w:val="00812EE8"/>
    <w:rsid w:val="00812F4D"/>
    <w:rsid w:val="00812F62"/>
    <w:rsid w:val="00812F71"/>
    <w:rsid w:val="00813597"/>
    <w:rsid w:val="008139A5"/>
    <w:rsid w:val="00813ABD"/>
    <w:rsid w:val="00813FF6"/>
    <w:rsid w:val="00814156"/>
    <w:rsid w:val="00814169"/>
    <w:rsid w:val="00814242"/>
    <w:rsid w:val="00814253"/>
    <w:rsid w:val="0081430C"/>
    <w:rsid w:val="00814378"/>
    <w:rsid w:val="00814511"/>
    <w:rsid w:val="00814910"/>
    <w:rsid w:val="00814922"/>
    <w:rsid w:val="008149BF"/>
    <w:rsid w:val="0081628F"/>
    <w:rsid w:val="008162F5"/>
    <w:rsid w:val="00816471"/>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D40"/>
    <w:rsid w:val="00820FD5"/>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327"/>
    <w:rsid w:val="0083056C"/>
    <w:rsid w:val="0083078B"/>
    <w:rsid w:val="00830928"/>
    <w:rsid w:val="00830B22"/>
    <w:rsid w:val="00831166"/>
    <w:rsid w:val="0083129F"/>
    <w:rsid w:val="00831449"/>
    <w:rsid w:val="008314E8"/>
    <w:rsid w:val="008316E1"/>
    <w:rsid w:val="008318E1"/>
    <w:rsid w:val="00831BAB"/>
    <w:rsid w:val="00831BD4"/>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B"/>
    <w:rsid w:val="00833B69"/>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B97"/>
    <w:rsid w:val="00842F5B"/>
    <w:rsid w:val="008433FF"/>
    <w:rsid w:val="008439BE"/>
    <w:rsid w:val="00843B30"/>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D80"/>
    <w:rsid w:val="00860FD3"/>
    <w:rsid w:val="008616B9"/>
    <w:rsid w:val="008616E2"/>
    <w:rsid w:val="00861D96"/>
    <w:rsid w:val="008622AC"/>
    <w:rsid w:val="008626D5"/>
    <w:rsid w:val="0086280D"/>
    <w:rsid w:val="00862B31"/>
    <w:rsid w:val="0086373B"/>
    <w:rsid w:val="008638D8"/>
    <w:rsid w:val="00863A13"/>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9A6"/>
    <w:rsid w:val="00880D5B"/>
    <w:rsid w:val="00881226"/>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4FE1"/>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F3"/>
    <w:rsid w:val="008C54AF"/>
    <w:rsid w:val="008C56A0"/>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3BB9"/>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2EE"/>
    <w:rsid w:val="008D787D"/>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A7"/>
    <w:rsid w:val="008E120E"/>
    <w:rsid w:val="008E122C"/>
    <w:rsid w:val="008E1655"/>
    <w:rsid w:val="008E172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8C9"/>
    <w:rsid w:val="008F1943"/>
    <w:rsid w:val="008F1DD5"/>
    <w:rsid w:val="008F1F10"/>
    <w:rsid w:val="008F2055"/>
    <w:rsid w:val="008F2088"/>
    <w:rsid w:val="008F219C"/>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CD7"/>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74"/>
    <w:rsid w:val="00911CEE"/>
    <w:rsid w:val="00911D07"/>
    <w:rsid w:val="00911FAE"/>
    <w:rsid w:val="00912125"/>
    <w:rsid w:val="009122BC"/>
    <w:rsid w:val="00912752"/>
    <w:rsid w:val="0091285D"/>
    <w:rsid w:val="00912C3E"/>
    <w:rsid w:val="00912DA9"/>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6AC2"/>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E81"/>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3F3"/>
    <w:rsid w:val="0094741E"/>
    <w:rsid w:val="00947BAC"/>
    <w:rsid w:val="00947C4E"/>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73A"/>
    <w:rsid w:val="00952A00"/>
    <w:rsid w:val="00952C00"/>
    <w:rsid w:val="00952DFC"/>
    <w:rsid w:val="009532B9"/>
    <w:rsid w:val="00953334"/>
    <w:rsid w:val="00953480"/>
    <w:rsid w:val="00953779"/>
    <w:rsid w:val="00953AE8"/>
    <w:rsid w:val="00953B51"/>
    <w:rsid w:val="00953CCE"/>
    <w:rsid w:val="00953D14"/>
    <w:rsid w:val="00954480"/>
    <w:rsid w:val="009547B1"/>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3D5"/>
    <w:rsid w:val="00964577"/>
    <w:rsid w:val="00964612"/>
    <w:rsid w:val="0096472A"/>
    <w:rsid w:val="0096483A"/>
    <w:rsid w:val="00964AF6"/>
    <w:rsid w:val="00964DEA"/>
    <w:rsid w:val="00965202"/>
    <w:rsid w:val="0096558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2A"/>
    <w:rsid w:val="009678D1"/>
    <w:rsid w:val="009678F5"/>
    <w:rsid w:val="00967BBC"/>
    <w:rsid w:val="0097047F"/>
    <w:rsid w:val="00970971"/>
    <w:rsid w:val="00970A52"/>
    <w:rsid w:val="00970A78"/>
    <w:rsid w:val="00970CBC"/>
    <w:rsid w:val="00970D1E"/>
    <w:rsid w:val="0097109E"/>
    <w:rsid w:val="00971124"/>
    <w:rsid w:val="00971330"/>
    <w:rsid w:val="0097133E"/>
    <w:rsid w:val="00971E69"/>
    <w:rsid w:val="009723E0"/>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0D"/>
    <w:rsid w:val="00984F3E"/>
    <w:rsid w:val="0098543D"/>
    <w:rsid w:val="009855CA"/>
    <w:rsid w:val="00985776"/>
    <w:rsid w:val="0098588E"/>
    <w:rsid w:val="009859AE"/>
    <w:rsid w:val="00985DB1"/>
    <w:rsid w:val="00985DB5"/>
    <w:rsid w:val="009863BF"/>
    <w:rsid w:val="00986575"/>
    <w:rsid w:val="00986620"/>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4F81"/>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9FC"/>
    <w:rsid w:val="009B2BFE"/>
    <w:rsid w:val="009B2DAC"/>
    <w:rsid w:val="009B2F3B"/>
    <w:rsid w:val="009B3049"/>
    <w:rsid w:val="009B3144"/>
    <w:rsid w:val="009B32D4"/>
    <w:rsid w:val="009B3399"/>
    <w:rsid w:val="009B3419"/>
    <w:rsid w:val="009B3425"/>
    <w:rsid w:val="009B350B"/>
    <w:rsid w:val="009B380B"/>
    <w:rsid w:val="009B3B02"/>
    <w:rsid w:val="009B3B31"/>
    <w:rsid w:val="009B3D69"/>
    <w:rsid w:val="009B42A4"/>
    <w:rsid w:val="009B430D"/>
    <w:rsid w:val="009B45FC"/>
    <w:rsid w:val="009B4CE1"/>
    <w:rsid w:val="009B4D06"/>
    <w:rsid w:val="009B4F35"/>
    <w:rsid w:val="009B5128"/>
    <w:rsid w:val="009B514A"/>
    <w:rsid w:val="009B5222"/>
    <w:rsid w:val="009B52C5"/>
    <w:rsid w:val="009B54E5"/>
    <w:rsid w:val="009B569F"/>
    <w:rsid w:val="009B5981"/>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094D"/>
    <w:rsid w:val="009C10A2"/>
    <w:rsid w:val="009C1179"/>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711"/>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DC0"/>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59F"/>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C3D"/>
    <w:rsid w:val="009F60B3"/>
    <w:rsid w:val="009F6450"/>
    <w:rsid w:val="009F68B6"/>
    <w:rsid w:val="009F7264"/>
    <w:rsid w:val="009F7337"/>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86"/>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112"/>
    <w:rsid w:val="00A055A7"/>
    <w:rsid w:val="00A058AD"/>
    <w:rsid w:val="00A0590B"/>
    <w:rsid w:val="00A05CCF"/>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513"/>
    <w:rsid w:val="00A117A2"/>
    <w:rsid w:val="00A11976"/>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E80"/>
    <w:rsid w:val="00A171B9"/>
    <w:rsid w:val="00A17FCC"/>
    <w:rsid w:val="00A2089C"/>
    <w:rsid w:val="00A208B8"/>
    <w:rsid w:val="00A209C2"/>
    <w:rsid w:val="00A20D2E"/>
    <w:rsid w:val="00A20EE3"/>
    <w:rsid w:val="00A21741"/>
    <w:rsid w:val="00A21868"/>
    <w:rsid w:val="00A21B43"/>
    <w:rsid w:val="00A21C30"/>
    <w:rsid w:val="00A21E12"/>
    <w:rsid w:val="00A21EDB"/>
    <w:rsid w:val="00A21FB9"/>
    <w:rsid w:val="00A22468"/>
    <w:rsid w:val="00A226E6"/>
    <w:rsid w:val="00A227CD"/>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9A1"/>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897"/>
    <w:rsid w:val="00A579AA"/>
    <w:rsid w:val="00A57BEE"/>
    <w:rsid w:val="00A57E9F"/>
    <w:rsid w:val="00A57FE2"/>
    <w:rsid w:val="00A60071"/>
    <w:rsid w:val="00A60742"/>
    <w:rsid w:val="00A60C4D"/>
    <w:rsid w:val="00A60DAE"/>
    <w:rsid w:val="00A61357"/>
    <w:rsid w:val="00A618B3"/>
    <w:rsid w:val="00A61D78"/>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1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6F3"/>
    <w:rsid w:val="00A7073C"/>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743"/>
    <w:rsid w:val="00A819A1"/>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0DD"/>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4F78"/>
    <w:rsid w:val="00A85838"/>
    <w:rsid w:val="00A85F3A"/>
    <w:rsid w:val="00A863BB"/>
    <w:rsid w:val="00A863EE"/>
    <w:rsid w:val="00A8681C"/>
    <w:rsid w:val="00A86A11"/>
    <w:rsid w:val="00A86F5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7D9"/>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88"/>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BD"/>
    <w:rsid w:val="00AC1C27"/>
    <w:rsid w:val="00AC1E2A"/>
    <w:rsid w:val="00AC1E91"/>
    <w:rsid w:val="00AC1EE0"/>
    <w:rsid w:val="00AC2B26"/>
    <w:rsid w:val="00AC2C57"/>
    <w:rsid w:val="00AC3148"/>
    <w:rsid w:val="00AC32AC"/>
    <w:rsid w:val="00AC33D7"/>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50"/>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C5"/>
    <w:rsid w:val="00AE2DCB"/>
    <w:rsid w:val="00AE2DDF"/>
    <w:rsid w:val="00AE2EAF"/>
    <w:rsid w:val="00AE30CF"/>
    <w:rsid w:val="00AE3514"/>
    <w:rsid w:val="00AE35F8"/>
    <w:rsid w:val="00AE3670"/>
    <w:rsid w:val="00AE387E"/>
    <w:rsid w:val="00AE3C77"/>
    <w:rsid w:val="00AE4042"/>
    <w:rsid w:val="00AE4202"/>
    <w:rsid w:val="00AE448B"/>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60F"/>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17A"/>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FB"/>
    <w:rsid w:val="00B176E8"/>
    <w:rsid w:val="00B178FE"/>
    <w:rsid w:val="00B17A0C"/>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CFB"/>
    <w:rsid w:val="00B24698"/>
    <w:rsid w:val="00B24DA3"/>
    <w:rsid w:val="00B24F6A"/>
    <w:rsid w:val="00B24FF5"/>
    <w:rsid w:val="00B25498"/>
    <w:rsid w:val="00B2572F"/>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47"/>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C25"/>
    <w:rsid w:val="00B34FB1"/>
    <w:rsid w:val="00B3510A"/>
    <w:rsid w:val="00B3528D"/>
    <w:rsid w:val="00B3566E"/>
    <w:rsid w:val="00B35678"/>
    <w:rsid w:val="00B35CC0"/>
    <w:rsid w:val="00B35E69"/>
    <w:rsid w:val="00B3600F"/>
    <w:rsid w:val="00B362FE"/>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57E"/>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83"/>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695"/>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9D7"/>
    <w:rsid w:val="00B67DA4"/>
    <w:rsid w:val="00B67E51"/>
    <w:rsid w:val="00B67EAD"/>
    <w:rsid w:val="00B67FC0"/>
    <w:rsid w:val="00B700F5"/>
    <w:rsid w:val="00B703B7"/>
    <w:rsid w:val="00B704CB"/>
    <w:rsid w:val="00B705D1"/>
    <w:rsid w:val="00B70DB2"/>
    <w:rsid w:val="00B70F44"/>
    <w:rsid w:val="00B7123F"/>
    <w:rsid w:val="00B71460"/>
    <w:rsid w:val="00B71581"/>
    <w:rsid w:val="00B718B2"/>
    <w:rsid w:val="00B71F0A"/>
    <w:rsid w:val="00B71F15"/>
    <w:rsid w:val="00B7221F"/>
    <w:rsid w:val="00B7234A"/>
    <w:rsid w:val="00B725C2"/>
    <w:rsid w:val="00B72644"/>
    <w:rsid w:val="00B729A3"/>
    <w:rsid w:val="00B733EA"/>
    <w:rsid w:val="00B738E4"/>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CFB"/>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260"/>
    <w:rsid w:val="00B85E14"/>
    <w:rsid w:val="00B85EC4"/>
    <w:rsid w:val="00B8604E"/>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3080"/>
    <w:rsid w:val="00B93244"/>
    <w:rsid w:val="00B935B0"/>
    <w:rsid w:val="00B93BE4"/>
    <w:rsid w:val="00B93D8B"/>
    <w:rsid w:val="00B94101"/>
    <w:rsid w:val="00B94406"/>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8E7"/>
    <w:rsid w:val="00BA4A56"/>
    <w:rsid w:val="00BA4B70"/>
    <w:rsid w:val="00BA4B78"/>
    <w:rsid w:val="00BA4DDA"/>
    <w:rsid w:val="00BA4F54"/>
    <w:rsid w:val="00BA4F8A"/>
    <w:rsid w:val="00BA4FB5"/>
    <w:rsid w:val="00BA519A"/>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C17"/>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2EC"/>
    <w:rsid w:val="00BB6430"/>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4ADF"/>
    <w:rsid w:val="00BE508B"/>
    <w:rsid w:val="00BE5092"/>
    <w:rsid w:val="00BE50CD"/>
    <w:rsid w:val="00BE5112"/>
    <w:rsid w:val="00BE52BB"/>
    <w:rsid w:val="00BE5436"/>
    <w:rsid w:val="00BE56D8"/>
    <w:rsid w:val="00BE5930"/>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2B0"/>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6B20"/>
    <w:rsid w:val="00BF6DC7"/>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20D9"/>
    <w:rsid w:val="00C029FD"/>
    <w:rsid w:val="00C02FDC"/>
    <w:rsid w:val="00C0405C"/>
    <w:rsid w:val="00C04139"/>
    <w:rsid w:val="00C042AF"/>
    <w:rsid w:val="00C04321"/>
    <w:rsid w:val="00C0433B"/>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C8"/>
    <w:rsid w:val="00C20DE0"/>
    <w:rsid w:val="00C20F4E"/>
    <w:rsid w:val="00C2126D"/>
    <w:rsid w:val="00C214C1"/>
    <w:rsid w:val="00C215F7"/>
    <w:rsid w:val="00C21687"/>
    <w:rsid w:val="00C21837"/>
    <w:rsid w:val="00C21C91"/>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84"/>
    <w:rsid w:val="00C306AC"/>
    <w:rsid w:val="00C30750"/>
    <w:rsid w:val="00C30897"/>
    <w:rsid w:val="00C30A7D"/>
    <w:rsid w:val="00C30CF3"/>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523"/>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AE6"/>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BD"/>
    <w:rsid w:val="00C54BEB"/>
    <w:rsid w:val="00C54C3F"/>
    <w:rsid w:val="00C54E29"/>
    <w:rsid w:val="00C550A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3E"/>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85"/>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1F3"/>
    <w:rsid w:val="00C8144E"/>
    <w:rsid w:val="00C81515"/>
    <w:rsid w:val="00C81AB5"/>
    <w:rsid w:val="00C81E86"/>
    <w:rsid w:val="00C81F88"/>
    <w:rsid w:val="00C82182"/>
    <w:rsid w:val="00C823A6"/>
    <w:rsid w:val="00C825FE"/>
    <w:rsid w:val="00C8267B"/>
    <w:rsid w:val="00C82B19"/>
    <w:rsid w:val="00C82C0D"/>
    <w:rsid w:val="00C82EBD"/>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C63"/>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0EC8"/>
    <w:rsid w:val="00CD171B"/>
    <w:rsid w:val="00CD17E1"/>
    <w:rsid w:val="00CD1A92"/>
    <w:rsid w:val="00CD1BB4"/>
    <w:rsid w:val="00CD1F55"/>
    <w:rsid w:val="00CD23CA"/>
    <w:rsid w:val="00CD27F9"/>
    <w:rsid w:val="00CD2902"/>
    <w:rsid w:val="00CD2DB9"/>
    <w:rsid w:val="00CD3291"/>
    <w:rsid w:val="00CD3495"/>
    <w:rsid w:val="00CD3619"/>
    <w:rsid w:val="00CD376B"/>
    <w:rsid w:val="00CD37B3"/>
    <w:rsid w:val="00CD3D5C"/>
    <w:rsid w:val="00CD3DBF"/>
    <w:rsid w:val="00CD3EC5"/>
    <w:rsid w:val="00CD3F28"/>
    <w:rsid w:val="00CD43D8"/>
    <w:rsid w:val="00CD448F"/>
    <w:rsid w:val="00CD4600"/>
    <w:rsid w:val="00CD4855"/>
    <w:rsid w:val="00CD49B2"/>
    <w:rsid w:val="00CD49C0"/>
    <w:rsid w:val="00CD4CE0"/>
    <w:rsid w:val="00CD4F4D"/>
    <w:rsid w:val="00CD50A2"/>
    <w:rsid w:val="00CD5106"/>
    <w:rsid w:val="00CD549E"/>
    <w:rsid w:val="00CD5530"/>
    <w:rsid w:val="00CD558A"/>
    <w:rsid w:val="00CD55D2"/>
    <w:rsid w:val="00CD57ED"/>
    <w:rsid w:val="00CD592B"/>
    <w:rsid w:val="00CD592C"/>
    <w:rsid w:val="00CD5D5F"/>
    <w:rsid w:val="00CD5D79"/>
    <w:rsid w:val="00CD624A"/>
    <w:rsid w:val="00CD6552"/>
    <w:rsid w:val="00CD6721"/>
    <w:rsid w:val="00CD69CD"/>
    <w:rsid w:val="00CD6ED2"/>
    <w:rsid w:val="00CD7171"/>
    <w:rsid w:val="00CD7610"/>
    <w:rsid w:val="00CD7A4D"/>
    <w:rsid w:val="00CD7B98"/>
    <w:rsid w:val="00CE01AD"/>
    <w:rsid w:val="00CE0270"/>
    <w:rsid w:val="00CE077E"/>
    <w:rsid w:val="00CE07BA"/>
    <w:rsid w:val="00CE0975"/>
    <w:rsid w:val="00CE0A18"/>
    <w:rsid w:val="00CE0A2C"/>
    <w:rsid w:val="00CE0C79"/>
    <w:rsid w:val="00CE0DC1"/>
    <w:rsid w:val="00CE0EBE"/>
    <w:rsid w:val="00CE0F10"/>
    <w:rsid w:val="00CE10AC"/>
    <w:rsid w:val="00CE10FE"/>
    <w:rsid w:val="00CE1A22"/>
    <w:rsid w:val="00CE1BD9"/>
    <w:rsid w:val="00CE2202"/>
    <w:rsid w:val="00CE2781"/>
    <w:rsid w:val="00CE27DD"/>
    <w:rsid w:val="00CE2B12"/>
    <w:rsid w:val="00CE33DA"/>
    <w:rsid w:val="00CE37BE"/>
    <w:rsid w:val="00CE3903"/>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155"/>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690"/>
    <w:rsid w:val="00D11790"/>
    <w:rsid w:val="00D11E4A"/>
    <w:rsid w:val="00D120AF"/>
    <w:rsid w:val="00D120DB"/>
    <w:rsid w:val="00D12206"/>
    <w:rsid w:val="00D12287"/>
    <w:rsid w:val="00D12684"/>
    <w:rsid w:val="00D12935"/>
    <w:rsid w:val="00D130BA"/>
    <w:rsid w:val="00D13103"/>
    <w:rsid w:val="00D13239"/>
    <w:rsid w:val="00D135FE"/>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0C2"/>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6B9"/>
    <w:rsid w:val="00D26C23"/>
    <w:rsid w:val="00D26F20"/>
    <w:rsid w:val="00D2720F"/>
    <w:rsid w:val="00D2746B"/>
    <w:rsid w:val="00D275F4"/>
    <w:rsid w:val="00D304C0"/>
    <w:rsid w:val="00D30D55"/>
    <w:rsid w:val="00D30E4D"/>
    <w:rsid w:val="00D30FC9"/>
    <w:rsid w:val="00D31082"/>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75"/>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D42"/>
    <w:rsid w:val="00D71EAD"/>
    <w:rsid w:val="00D727BC"/>
    <w:rsid w:val="00D72B2E"/>
    <w:rsid w:val="00D72D30"/>
    <w:rsid w:val="00D72E7D"/>
    <w:rsid w:val="00D72FA4"/>
    <w:rsid w:val="00D730B4"/>
    <w:rsid w:val="00D734CA"/>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6FD2"/>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674"/>
    <w:rsid w:val="00D83E71"/>
    <w:rsid w:val="00D8407B"/>
    <w:rsid w:val="00D843B2"/>
    <w:rsid w:val="00D843F7"/>
    <w:rsid w:val="00D846D1"/>
    <w:rsid w:val="00D8495E"/>
    <w:rsid w:val="00D84E73"/>
    <w:rsid w:val="00D85918"/>
    <w:rsid w:val="00D860DC"/>
    <w:rsid w:val="00D86852"/>
    <w:rsid w:val="00D86A1E"/>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C45"/>
    <w:rsid w:val="00D93D19"/>
    <w:rsid w:val="00D9456A"/>
    <w:rsid w:val="00D94960"/>
    <w:rsid w:val="00D949C7"/>
    <w:rsid w:val="00D94A68"/>
    <w:rsid w:val="00D94E69"/>
    <w:rsid w:val="00D952B1"/>
    <w:rsid w:val="00D952E4"/>
    <w:rsid w:val="00D9578F"/>
    <w:rsid w:val="00D95B22"/>
    <w:rsid w:val="00D95EFB"/>
    <w:rsid w:val="00D96261"/>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1EA9"/>
    <w:rsid w:val="00DA2165"/>
    <w:rsid w:val="00DA2359"/>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A2A"/>
    <w:rsid w:val="00DC1E70"/>
    <w:rsid w:val="00DC212B"/>
    <w:rsid w:val="00DC21C8"/>
    <w:rsid w:val="00DC2252"/>
    <w:rsid w:val="00DC2559"/>
    <w:rsid w:val="00DC268E"/>
    <w:rsid w:val="00DC32FA"/>
    <w:rsid w:val="00DC340D"/>
    <w:rsid w:val="00DC3730"/>
    <w:rsid w:val="00DC37CA"/>
    <w:rsid w:val="00DC3850"/>
    <w:rsid w:val="00DC3A11"/>
    <w:rsid w:val="00DC3C37"/>
    <w:rsid w:val="00DC3C8B"/>
    <w:rsid w:val="00DC3E21"/>
    <w:rsid w:val="00DC3F4A"/>
    <w:rsid w:val="00DC402F"/>
    <w:rsid w:val="00DC427A"/>
    <w:rsid w:val="00DC46EC"/>
    <w:rsid w:val="00DC47E3"/>
    <w:rsid w:val="00DC485D"/>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4BF"/>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24B"/>
    <w:rsid w:val="00DD66A3"/>
    <w:rsid w:val="00DD6915"/>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E7FF2"/>
    <w:rsid w:val="00DF00AB"/>
    <w:rsid w:val="00DF02FD"/>
    <w:rsid w:val="00DF041D"/>
    <w:rsid w:val="00DF0448"/>
    <w:rsid w:val="00DF094A"/>
    <w:rsid w:val="00DF0B45"/>
    <w:rsid w:val="00DF0C14"/>
    <w:rsid w:val="00DF0D1E"/>
    <w:rsid w:val="00DF0EC3"/>
    <w:rsid w:val="00DF11E6"/>
    <w:rsid w:val="00DF12E2"/>
    <w:rsid w:val="00DF130D"/>
    <w:rsid w:val="00DF1383"/>
    <w:rsid w:val="00DF13B3"/>
    <w:rsid w:val="00DF1713"/>
    <w:rsid w:val="00DF17A3"/>
    <w:rsid w:val="00DF186C"/>
    <w:rsid w:val="00DF1A2C"/>
    <w:rsid w:val="00DF1CF0"/>
    <w:rsid w:val="00DF1F37"/>
    <w:rsid w:val="00DF1FF0"/>
    <w:rsid w:val="00DF2019"/>
    <w:rsid w:val="00DF20D8"/>
    <w:rsid w:val="00DF278E"/>
    <w:rsid w:val="00DF2A1A"/>
    <w:rsid w:val="00DF2A58"/>
    <w:rsid w:val="00DF2D7E"/>
    <w:rsid w:val="00DF31E0"/>
    <w:rsid w:val="00DF34FC"/>
    <w:rsid w:val="00DF3791"/>
    <w:rsid w:val="00DF397B"/>
    <w:rsid w:val="00DF3E62"/>
    <w:rsid w:val="00DF3EF4"/>
    <w:rsid w:val="00DF3FFA"/>
    <w:rsid w:val="00DF4239"/>
    <w:rsid w:val="00DF426B"/>
    <w:rsid w:val="00DF4B43"/>
    <w:rsid w:val="00DF4C03"/>
    <w:rsid w:val="00DF4E96"/>
    <w:rsid w:val="00DF51B5"/>
    <w:rsid w:val="00DF51B8"/>
    <w:rsid w:val="00DF51ED"/>
    <w:rsid w:val="00DF55FE"/>
    <w:rsid w:val="00DF58B7"/>
    <w:rsid w:val="00DF5916"/>
    <w:rsid w:val="00DF5A47"/>
    <w:rsid w:val="00DF5EA4"/>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07ECA"/>
    <w:rsid w:val="00E10018"/>
    <w:rsid w:val="00E10144"/>
    <w:rsid w:val="00E10775"/>
    <w:rsid w:val="00E10789"/>
    <w:rsid w:val="00E109D4"/>
    <w:rsid w:val="00E10D82"/>
    <w:rsid w:val="00E10E74"/>
    <w:rsid w:val="00E10F6B"/>
    <w:rsid w:val="00E10FD6"/>
    <w:rsid w:val="00E11425"/>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5FFD"/>
    <w:rsid w:val="00E16000"/>
    <w:rsid w:val="00E161B9"/>
    <w:rsid w:val="00E16481"/>
    <w:rsid w:val="00E16792"/>
    <w:rsid w:val="00E16B01"/>
    <w:rsid w:val="00E16BCC"/>
    <w:rsid w:val="00E16EF2"/>
    <w:rsid w:val="00E16F1D"/>
    <w:rsid w:val="00E1759E"/>
    <w:rsid w:val="00E17620"/>
    <w:rsid w:val="00E17BF4"/>
    <w:rsid w:val="00E17D15"/>
    <w:rsid w:val="00E17D28"/>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2E62"/>
    <w:rsid w:val="00E232BC"/>
    <w:rsid w:val="00E234D2"/>
    <w:rsid w:val="00E23571"/>
    <w:rsid w:val="00E235C2"/>
    <w:rsid w:val="00E236FD"/>
    <w:rsid w:val="00E23F21"/>
    <w:rsid w:val="00E24340"/>
    <w:rsid w:val="00E24B99"/>
    <w:rsid w:val="00E24DF6"/>
    <w:rsid w:val="00E25793"/>
    <w:rsid w:val="00E25D45"/>
    <w:rsid w:val="00E264AB"/>
    <w:rsid w:val="00E2656C"/>
    <w:rsid w:val="00E265FF"/>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82"/>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5A4"/>
    <w:rsid w:val="00E35A0C"/>
    <w:rsid w:val="00E35C5A"/>
    <w:rsid w:val="00E363FD"/>
    <w:rsid w:val="00E36760"/>
    <w:rsid w:val="00E368AF"/>
    <w:rsid w:val="00E36B93"/>
    <w:rsid w:val="00E36F0D"/>
    <w:rsid w:val="00E36F12"/>
    <w:rsid w:val="00E37113"/>
    <w:rsid w:val="00E37269"/>
    <w:rsid w:val="00E3731B"/>
    <w:rsid w:val="00E374C3"/>
    <w:rsid w:val="00E37633"/>
    <w:rsid w:val="00E37D4B"/>
    <w:rsid w:val="00E37D71"/>
    <w:rsid w:val="00E37E67"/>
    <w:rsid w:val="00E37F90"/>
    <w:rsid w:val="00E37FD2"/>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3E16"/>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3B7F"/>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484"/>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46A"/>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596"/>
    <w:rsid w:val="00E817BA"/>
    <w:rsid w:val="00E81847"/>
    <w:rsid w:val="00E8189E"/>
    <w:rsid w:val="00E81C86"/>
    <w:rsid w:val="00E81F2E"/>
    <w:rsid w:val="00E82653"/>
    <w:rsid w:val="00E828BD"/>
    <w:rsid w:val="00E82BB8"/>
    <w:rsid w:val="00E82DA9"/>
    <w:rsid w:val="00E83113"/>
    <w:rsid w:val="00E8332E"/>
    <w:rsid w:val="00E83423"/>
    <w:rsid w:val="00E8344B"/>
    <w:rsid w:val="00E8345B"/>
    <w:rsid w:val="00E836AC"/>
    <w:rsid w:val="00E83932"/>
    <w:rsid w:val="00E83C54"/>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42D6"/>
    <w:rsid w:val="00EA4314"/>
    <w:rsid w:val="00EA43EE"/>
    <w:rsid w:val="00EA47F7"/>
    <w:rsid w:val="00EA5315"/>
    <w:rsid w:val="00EA5696"/>
    <w:rsid w:val="00EA592E"/>
    <w:rsid w:val="00EA5A07"/>
    <w:rsid w:val="00EA5C35"/>
    <w:rsid w:val="00EA5C4A"/>
    <w:rsid w:val="00EA5C6E"/>
    <w:rsid w:val="00EA5DF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6F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4FF"/>
    <w:rsid w:val="00EC351E"/>
    <w:rsid w:val="00EC355E"/>
    <w:rsid w:val="00EC35C4"/>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CFE"/>
    <w:rsid w:val="00ED0D76"/>
    <w:rsid w:val="00ED0F0A"/>
    <w:rsid w:val="00ED1334"/>
    <w:rsid w:val="00ED143E"/>
    <w:rsid w:val="00ED17A9"/>
    <w:rsid w:val="00ED1B82"/>
    <w:rsid w:val="00ED1CA6"/>
    <w:rsid w:val="00ED1D56"/>
    <w:rsid w:val="00ED20BB"/>
    <w:rsid w:val="00ED2D1C"/>
    <w:rsid w:val="00ED3090"/>
    <w:rsid w:val="00ED30B8"/>
    <w:rsid w:val="00ED3537"/>
    <w:rsid w:val="00ED3A88"/>
    <w:rsid w:val="00ED3B20"/>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63"/>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116"/>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0C70"/>
    <w:rsid w:val="00F0112E"/>
    <w:rsid w:val="00F0164E"/>
    <w:rsid w:val="00F0258B"/>
    <w:rsid w:val="00F02645"/>
    <w:rsid w:val="00F028CD"/>
    <w:rsid w:val="00F02A50"/>
    <w:rsid w:val="00F02C22"/>
    <w:rsid w:val="00F02D61"/>
    <w:rsid w:val="00F02ED6"/>
    <w:rsid w:val="00F031D5"/>
    <w:rsid w:val="00F033A8"/>
    <w:rsid w:val="00F0371A"/>
    <w:rsid w:val="00F0378D"/>
    <w:rsid w:val="00F03C01"/>
    <w:rsid w:val="00F03F60"/>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1E4"/>
    <w:rsid w:val="00F1045D"/>
    <w:rsid w:val="00F10492"/>
    <w:rsid w:val="00F10520"/>
    <w:rsid w:val="00F10739"/>
    <w:rsid w:val="00F108A2"/>
    <w:rsid w:val="00F10AE9"/>
    <w:rsid w:val="00F10B16"/>
    <w:rsid w:val="00F10BE1"/>
    <w:rsid w:val="00F10D07"/>
    <w:rsid w:val="00F110FE"/>
    <w:rsid w:val="00F112D9"/>
    <w:rsid w:val="00F11300"/>
    <w:rsid w:val="00F115DB"/>
    <w:rsid w:val="00F11621"/>
    <w:rsid w:val="00F1170F"/>
    <w:rsid w:val="00F117AF"/>
    <w:rsid w:val="00F11A31"/>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634"/>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4F4"/>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BFB"/>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59"/>
    <w:rsid w:val="00F64A33"/>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C0D"/>
    <w:rsid w:val="00F7207D"/>
    <w:rsid w:val="00F7228B"/>
    <w:rsid w:val="00F72697"/>
    <w:rsid w:val="00F727EA"/>
    <w:rsid w:val="00F72982"/>
    <w:rsid w:val="00F72A25"/>
    <w:rsid w:val="00F72B3C"/>
    <w:rsid w:val="00F733D2"/>
    <w:rsid w:val="00F7347C"/>
    <w:rsid w:val="00F7369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D3F"/>
    <w:rsid w:val="00F77E7D"/>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6E"/>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7E"/>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BF5"/>
    <w:rsid w:val="00F95D33"/>
    <w:rsid w:val="00F95FD9"/>
    <w:rsid w:val="00F961CB"/>
    <w:rsid w:val="00F963F3"/>
    <w:rsid w:val="00F966B2"/>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369"/>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41"/>
    <w:rsid w:val="00FB2853"/>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5E1"/>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4D"/>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05"/>
    <w:rsid w:val="00FD46A2"/>
    <w:rsid w:val="00FD4C0D"/>
    <w:rsid w:val="00FD4C1D"/>
    <w:rsid w:val="00FD4D30"/>
    <w:rsid w:val="00FD4EA3"/>
    <w:rsid w:val="00FD52BA"/>
    <w:rsid w:val="00FD53A3"/>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C8D"/>
    <w:rsid w:val="00FE2EDF"/>
    <w:rsid w:val="00FE37CA"/>
    <w:rsid w:val="00FE3DBC"/>
    <w:rsid w:val="00FE42DE"/>
    <w:rsid w:val="00FE436D"/>
    <w:rsid w:val="00FE46F0"/>
    <w:rsid w:val="00FE4872"/>
    <w:rsid w:val="00FE49B8"/>
    <w:rsid w:val="00FE4D18"/>
    <w:rsid w:val="00FE4D93"/>
    <w:rsid w:val="00FE519A"/>
    <w:rsid w:val="00FE5301"/>
    <w:rsid w:val="00FE536A"/>
    <w:rsid w:val="00FE536E"/>
    <w:rsid w:val="00FE53C6"/>
    <w:rsid w:val="00FE5572"/>
    <w:rsid w:val="00FE55CC"/>
    <w:rsid w:val="00FE55FE"/>
    <w:rsid w:val="00FE5D86"/>
    <w:rsid w:val="00FE6426"/>
    <w:rsid w:val="00FE642B"/>
    <w:rsid w:val="00FE6A17"/>
    <w:rsid w:val="00FE6F07"/>
    <w:rsid w:val="00FE77BA"/>
    <w:rsid w:val="00FE788C"/>
    <w:rsid w:val="00FE7A7B"/>
    <w:rsid w:val="00FE7BB0"/>
    <w:rsid w:val="00FE7D17"/>
    <w:rsid w:val="00FE7D6C"/>
    <w:rsid w:val="00FE7D91"/>
    <w:rsid w:val="00FF013A"/>
    <w:rsid w:val="00FF044C"/>
    <w:rsid w:val="00FF0704"/>
    <w:rsid w:val="00FF070A"/>
    <w:rsid w:val="00FF078F"/>
    <w:rsid w:val="00FF0990"/>
    <w:rsid w:val="00FF0C0A"/>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
    <w:link w:val="Caption"/>
    <w:rsid w:val="00260902"/>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C869A35D-C673-4FBD-AFD3-B48C1D8C9AD2}">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8E47CDDC-80C5-4A95-86F4-62B23407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54A68C-2087-4971-9882-3BDD103F3A2C}">
  <ds:schemaRefs>
    <ds:schemaRef ds:uri="http://schemas.microsoft.com/sharepoint/v3/contenttype/forms"/>
  </ds:schemaRefs>
</ds:datastoreItem>
</file>

<file path=customXml/itemProps4.xml><?xml version="1.0" encoding="utf-8"?>
<ds:datastoreItem xmlns:ds="http://schemas.openxmlformats.org/officeDocument/2006/customXml" ds:itemID="{5FE6C672-27A6-4591-8AD0-F8435FC7A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6</Pages>
  <Words>2509</Words>
  <Characters>14303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16779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89</cp:revision>
  <cp:lastPrinted>2017-10-02T09:51:00Z</cp:lastPrinted>
  <dcterms:created xsi:type="dcterms:W3CDTF">2019-08-13T11:22:00Z</dcterms:created>
  <dcterms:modified xsi:type="dcterms:W3CDTF">2019-10-08T01:44:00Z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